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B89EF68" w14:textId="77777777" w:rsidR="006D0F62" w:rsidRDefault="000F4050">
      <w:pPr>
        <w:jc w:val="center"/>
        <w:rPr>
          <w:rFonts w:ascii="方正小标宋简体" w:eastAsia="方正小标宋简体" w:hAnsi="方正小标宋简体" w:cs="方正小标宋简体"/>
          <w:bCs/>
          <w:sz w:val="44"/>
          <w:szCs w:val="44"/>
        </w:rPr>
      </w:pPr>
      <w:r>
        <w:rPr>
          <w:rFonts w:ascii="方正小标宋简体" w:eastAsia="方正小标宋简体" w:hAnsi="方正小标宋简体" w:cs="方正小标宋简体" w:hint="eastAsia"/>
          <w:bCs/>
          <w:sz w:val="44"/>
          <w:szCs w:val="44"/>
        </w:rPr>
        <w:t>评标办法（综合评估法）</w:t>
      </w:r>
    </w:p>
    <w:p w14:paraId="060E2C24" w14:textId="77777777" w:rsidR="006D0F62" w:rsidRDefault="000F4050">
      <w:pPr>
        <w:pStyle w:val="a3"/>
        <w:spacing w:before="0" w:beforeAutospacing="0" w:after="0" w:afterAutospacing="0" w:line="600" w:lineRule="exact"/>
        <w:ind w:firstLineChars="200" w:firstLine="640"/>
        <w:jc w:val="both"/>
        <w:rPr>
          <w:rFonts w:ascii="黑体" w:eastAsia="黑体" w:hAnsi="黑体" w:cs="黑体"/>
          <w:bCs/>
          <w:sz w:val="32"/>
          <w:szCs w:val="32"/>
        </w:rPr>
      </w:pPr>
      <w:r>
        <w:rPr>
          <w:rFonts w:ascii="黑体" w:eastAsia="黑体" w:hAnsi="黑体" w:cs="黑体" w:hint="eastAsia"/>
          <w:bCs/>
          <w:sz w:val="32"/>
          <w:szCs w:val="32"/>
        </w:rPr>
        <w:t>一、评标委员会组成</w:t>
      </w:r>
    </w:p>
    <w:p w14:paraId="7C2AED70" w14:textId="77777777" w:rsidR="006D0F62" w:rsidRDefault="000F4050">
      <w:pPr>
        <w:spacing w:line="540" w:lineRule="exact"/>
        <w:ind w:firstLineChars="200" w:firstLine="560"/>
        <w:rPr>
          <w:rFonts w:ascii="仿宋_GB2312" w:eastAsia="仿宋_GB2312" w:cs="仿宋_GB2312"/>
          <w:sz w:val="28"/>
          <w:szCs w:val="28"/>
        </w:rPr>
      </w:pPr>
      <w:r>
        <w:rPr>
          <w:rFonts w:ascii="仿宋_GB2312" w:eastAsia="仿宋_GB2312" w:cs="仿宋_GB2312" w:hint="eastAsia"/>
          <w:sz w:val="28"/>
          <w:szCs w:val="28"/>
        </w:rPr>
        <w:t>在纪检监察室的监督下，采购科室、安全与国有资产管理科从广西壮族自治区柳州城区公路养护中心自行采购评审专家库随机抽出3名评委，组成当次评审小组，负责当次自行采购项目的评审工作。参加过当次采购项目询价采购文件编制、审核事宜的工作人员不能为当次评委。</w:t>
      </w:r>
    </w:p>
    <w:p w14:paraId="29DB606B" w14:textId="77777777" w:rsidR="006D0F62" w:rsidRDefault="000F4050">
      <w:pPr>
        <w:pStyle w:val="a3"/>
        <w:spacing w:before="0" w:beforeAutospacing="0" w:after="0" w:afterAutospacing="0" w:line="600" w:lineRule="exact"/>
        <w:ind w:firstLineChars="200" w:firstLine="640"/>
        <w:jc w:val="both"/>
        <w:rPr>
          <w:rFonts w:ascii="黑体" w:eastAsia="黑体" w:hAnsi="黑体" w:cs="黑体"/>
          <w:bCs/>
          <w:sz w:val="32"/>
          <w:szCs w:val="32"/>
        </w:rPr>
      </w:pPr>
      <w:r>
        <w:rPr>
          <w:rFonts w:ascii="黑体" w:eastAsia="黑体" w:hAnsi="黑体" w:cs="黑体" w:hint="eastAsia"/>
          <w:bCs/>
          <w:sz w:val="32"/>
          <w:szCs w:val="32"/>
        </w:rPr>
        <w:t>二、评标原则和评标办法</w:t>
      </w:r>
    </w:p>
    <w:p w14:paraId="44D368CC" w14:textId="77777777" w:rsidR="006D0F62" w:rsidRDefault="000F4050">
      <w:pPr>
        <w:spacing w:line="540" w:lineRule="exact"/>
        <w:ind w:firstLineChars="200" w:firstLine="560"/>
        <w:rPr>
          <w:rFonts w:ascii="仿宋_GB2312" w:eastAsia="仿宋_GB2312" w:cs="仿宋_GB2312"/>
          <w:sz w:val="28"/>
          <w:szCs w:val="28"/>
        </w:rPr>
      </w:pPr>
      <w:r>
        <w:rPr>
          <w:rFonts w:ascii="仿宋_GB2312" w:eastAsia="仿宋_GB2312" w:cs="仿宋_GB2312" w:hint="eastAsia"/>
          <w:sz w:val="28"/>
          <w:szCs w:val="28"/>
        </w:rPr>
        <w:t>（一）评标委员会必须坚持公平、公正、科学和择优的原则。</w:t>
      </w:r>
    </w:p>
    <w:p w14:paraId="641FB6F3" w14:textId="77777777" w:rsidR="006D0F62" w:rsidRDefault="000F4050">
      <w:pPr>
        <w:spacing w:line="540" w:lineRule="exact"/>
        <w:ind w:firstLineChars="200" w:firstLine="560"/>
        <w:rPr>
          <w:rFonts w:ascii="仿宋_GB2312" w:eastAsia="仿宋_GB2312" w:cs="仿宋_GB2312"/>
          <w:sz w:val="28"/>
          <w:szCs w:val="28"/>
        </w:rPr>
      </w:pPr>
      <w:r>
        <w:rPr>
          <w:rFonts w:ascii="仿宋_GB2312" w:eastAsia="仿宋_GB2312" w:cs="仿宋_GB2312" w:hint="eastAsia"/>
          <w:sz w:val="28"/>
          <w:szCs w:val="28"/>
        </w:rPr>
        <w:t>（二）评标办法：综合评分法，具体评标内容及标准详见评标办法。</w:t>
      </w:r>
    </w:p>
    <w:p w14:paraId="310E87DC" w14:textId="77777777" w:rsidR="006D0F62" w:rsidRDefault="000F4050">
      <w:pPr>
        <w:spacing w:line="540" w:lineRule="exact"/>
        <w:ind w:firstLineChars="200" w:firstLine="560"/>
        <w:rPr>
          <w:rFonts w:ascii="仿宋_GB2312" w:eastAsia="仿宋_GB2312" w:cs="仿宋_GB2312"/>
          <w:sz w:val="28"/>
          <w:szCs w:val="28"/>
        </w:rPr>
      </w:pPr>
      <w:r>
        <w:rPr>
          <w:rFonts w:ascii="仿宋_GB2312" w:eastAsia="仿宋_GB2312" w:cs="仿宋_GB2312" w:hint="eastAsia"/>
          <w:sz w:val="28"/>
          <w:szCs w:val="28"/>
        </w:rPr>
        <w:t>（三）评标委员会应按招标文件进行评标，不得擅自更改评标办法。</w:t>
      </w:r>
    </w:p>
    <w:p w14:paraId="15B8802D" w14:textId="77777777" w:rsidR="006D0F62" w:rsidRDefault="000F4050">
      <w:pPr>
        <w:spacing w:line="540" w:lineRule="exact"/>
        <w:ind w:firstLineChars="200" w:firstLine="560"/>
        <w:rPr>
          <w:rFonts w:ascii="仿宋_GB2312" w:eastAsia="仿宋_GB2312" w:cs="仿宋_GB2312"/>
          <w:sz w:val="28"/>
          <w:szCs w:val="28"/>
        </w:rPr>
      </w:pPr>
      <w:r>
        <w:rPr>
          <w:rFonts w:ascii="仿宋_GB2312" w:eastAsia="仿宋_GB2312" w:cs="仿宋_GB2312" w:hint="eastAsia"/>
          <w:sz w:val="28"/>
          <w:szCs w:val="28"/>
        </w:rPr>
        <w:t>（四）评标委员会成员对需要共同认定的事项存在争议的，按照少数服从多数的原则作出结论。持不同意见的评标委员会成员应当在评审报告上签署不同意见并说明理由，否则视为同意。</w:t>
      </w:r>
    </w:p>
    <w:p w14:paraId="0F3D9AEB" w14:textId="77777777" w:rsidR="006D0F62" w:rsidRDefault="000F4050">
      <w:pPr>
        <w:pStyle w:val="a3"/>
        <w:spacing w:before="0" w:beforeAutospacing="0" w:after="0" w:afterAutospacing="0" w:line="600" w:lineRule="exact"/>
        <w:ind w:firstLineChars="200" w:firstLine="640"/>
        <w:jc w:val="both"/>
        <w:rPr>
          <w:rFonts w:ascii="黑体" w:eastAsia="黑体" w:hAnsi="黑体" w:cs="黑体"/>
          <w:bCs/>
          <w:sz w:val="32"/>
          <w:szCs w:val="32"/>
        </w:rPr>
      </w:pPr>
      <w:r>
        <w:rPr>
          <w:rFonts w:ascii="黑体" w:eastAsia="黑体" w:hAnsi="黑体" w:cs="黑体" w:hint="eastAsia"/>
          <w:bCs/>
          <w:sz w:val="32"/>
          <w:szCs w:val="32"/>
        </w:rPr>
        <w:t>三、评审依据及方式</w:t>
      </w:r>
    </w:p>
    <w:p w14:paraId="1E011A7A" w14:textId="77777777" w:rsidR="006D0F62" w:rsidRDefault="000F4050">
      <w:pPr>
        <w:spacing w:line="540" w:lineRule="exact"/>
        <w:ind w:firstLineChars="200" w:firstLine="560"/>
        <w:rPr>
          <w:rFonts w:ascii="仿宋_GB2312" w:eastAsia="仿宋_GB2312" w:cs="仿宋_GB2312"/>
          <w:sz w:val="28"/>
          <w:szCs w:val="28"/>
        </w:rPr>
      </w:pPr>
      <w:r>
        <w:rPr>
          <w:rFonts w:ascii="仿宋_GB2312" w:eastAsia="仿宋_GB2312" w:cs="仿宋_GB2312" w:hint="eastAsia"/>
          <w:sz w:val="28"/>
          <w:szCs w:val="28"/>
        </w:rPr>
        <w:t>1.评审依据：评标委员会以招标文件和投标文件为评审依据，对供应商的报价、技术、应急处理机制、企业实力信誉、售后服务承诺及业绩等方面内容按百分制打分。</w:t>
      </w:r>
    </w:p>
    <w:p w14:paraId="245BDE64" w14:textId="77777777" w:rsidR="006D0F62" w:rsidRDefault="000F4050">
      <w:pPr>
        <w:spacing w:line="540" w:lineRule="exact"/>
        <w:ind w:firstLineChars="200" w:firstLine="560"/>
        <w:rPr>
          <w:rFonts w:ascii="仿宋_GB2312" w:eastAsia="仿宋_GB2312" w:cs="仿宋_GB2312"/>
          <w:sz w:val="28"/>
          <w:szCs w:val="28"/>
        </w:rPr>
      </w:pPr>
      <w:r>
        <w:rPr>
          <w:rFonts w:ascii="仿宋_GB2312" w:eastAsia="仿宋_GB2312" w:cs="仿宋_GB2312" w:hint="eastAsia"/>
          <w:sz w:val="28"/>
          <w:szCs w:val="28"/>
        </w:rPr>
        <w:t>2.评审方式：以封闭方式进行评审。</w:t>
      </w:r>
    </w:p>
    <w:p w14:paraId="15EC1EC4" w14:textId="77777777" w:rsidR="006D0F62" w:rsidRDefault="000F4050">
      <w:pPr>
        <w:spacing w:line="540" w:lineRule="exact"/>
        <w:ind w:firstLineChars="200" w:firstLine="560"/>
        <w:rPr>
          <w:rFonts w:ascii="仿宋_GB2312" w:eastAsia="仿宋_GB2312" w:cs="仿宋_GB2312"/>
          <w:sz w:val="28"/>
          <w:szCs w:val="28"/>
        </w:rPr>
      </w:pPr>
      <w:r>
        <w:rPr>
          <w:rFonts w:ascii="仿宋_GB2312" w:eastAsia="仿宋_GB2312" w:cs="仿宋_GB2312" w:hint="eastAsia"/>
          <w:sz w:val="28"/>
          <w:szCs w:val="28"/>
        </w:rPr>
        <w:t>3.根据财库〔2012〕69号文规定，采购人和采购代理机构，评标委员会要严格遵守政府采购相关法律制度，依法履行各自职责，公正、客观、审慎地组织和参与评审工作。</w:t>
      </w:r>
    </w:p>
    <w:p w14:paraId="5C1919A1" w14:textId="77777777" w:rsidR="006D0F62" w:rsidRDefault="000F4050">
      <w:pPr>
        <w:pStyle w:val="a3"/>
        <w:spacing w:before="0" w:beforeAutospacing="0" w:after="0" w:afterAutospacing="0" w:line="600" w:lineRule="exact"/>
        <w:ind w:firstLineChars="200" w:firstLine="640"/>
        <w:jc w:val="both"/>
        <w:rPr>
          <w:rFonts w:ascii="黑体" w:eastAsia="黑体" w:hAnsi="黑体" w:cs="黑体"/>
          <w:bCs/>
          <w:sz w:val="32"/>
          <w:szCs w:val="32"/>
        </w:rPr>
      </w:pPr>
      <w:r>
        <w:rPr>
          <w:rFonts w:ascii="黑体" w:eastAsia="黑体" w:hAnsi="黑体" w:cs="黑体" w:hint="eastAsia"/>
          <w:bCs/>
          <w:sz w:val="32"/>
          <w:szCs w:val="32"/>
        </w:rPr>
        <w:lastRenderedPageBreak/>
        <w:t>四、评审办法</w:t>
      </w:r>
    </w:p>
    <w:p w14:paraId="67ACB2BF" w14:textId="77777777" w:rsidR="006D0F62" w:rsidRDefault="000F4050">
      <w:pPr>
        <w:spacing w:line="540" w:lineRule="exact"/>
        <w:ind w:firstLineChars="200" w:firstLine="560"/>
        <w:rPr>
          <w:rFonts w:ascii="仿宋_GB2312" w:eastAsia="仿宋_GB2312" w:cs="仿宋_GB2312"/>
          <w:sz w:val="28"/>
          <w:szCs w:val="28"/>
        </w:rPr>
      </w:pPr>
      <w:r>
        <w:rPr>
          <w:rFonts w:ascii="仿宋_GB2312" w:eastAsia="仿宋_GB2312" w:cs="仿宋_GB2312" w:hint="eastAsia"/>
          <w:sz w:val="28"/>
          <w:szCs w:val="28"/>
        </w:rPr>
        <w:t xml:space="preserve">  （一）对进入详评的，采用综合评估法。</w:t>
      </w:r>
    </w:p>
    <w:tbl>
      <w:tblPr>
        <w:tblW w:w="9316" w:type="dxa"/>
        <w:tblInd w:w="93" w:type="dxa"/>
        <w:tblLayout w:type="fixed"/>
        <w:tblLook w:val="04A0" w:firstRow="1" w:lastRow="0" w:firstColumn="1" w:lastColumn="0" w:noHBand="0" w:noVBand="1"/>
      </w:tblPr>
      <w:tblGrid>
        <w:gridCol w:w="720"/>
        <w:gridCol w:w="1637"/>
        <w:gridCol w:w="2910"/>
        <w:gridCol w:w="1023"/>
        <w:gridCol w:w="3026"/>
      </w:tblGrid>
      <w:tr w:rsidR="006D0F62" w14:paraId="45830145" w14:textId="77777777">
        <w:trPr>
          <w:trHeight w:val="1200"/>
        </w:trPr>
        <w:tc>
          <w:tcPr>
            <w:tcW w:w="720" w:type="dxa"/>
            <w:tcBorders>
              <w:top w:val="single" w:sz="4" w:space="0" w:color="000000"/>
              <w:left w:val="single" w:sz="4" w:space="0" w:color="000000"/>
              <w:bottom w:val="single" w:sz="4" w:space="0" w:color="000000"/>
              <w:right w:val="single" w:sz="4" w:space="0" w:color="000000"/>
            </w:tcBorders>
            <w:noWrap/>
            <w:vAlign w:val="center"/>
          </w:tcPr>
          <w:p w14:paraId="36CE6D98" w14:textId="77777777" w:rsidR="006D0F62" w:rsidRDefault="000F4050">
            <w:pPr>
              <w:widowControl/>
              <w:autoSpaceDE w:val="0"/>
              <w:autoSpaceDN w:val="0"/>
              <w:spacing w:line="460" w:lineRule="exact"/>
              <w:textAlignment w:val="bottom"/>
              <w:rPr>
                <w:rFonts w:ascii="仿宋" w:eastAsia="仿宋" w:hAnsi="仿宋" w:cs="仿宋"/>
                <w:color w:val="000000"/>
                <w:sz w:val="28"/>
                <w:szCs w:val="28"/>
              </w:rPr>
            </w:pPr>
            <w:r>
              <w:rPr>
                <w:rFonts w:ascii="仿宋" w:eastAsia="仿宋" w:hAnsi="仿宋" w:cs="仿宋" w:hint="eastAsia"/>
                <w:color w:val="000000"/>
                <w:sz w:val="28"/>
                <w:szCs w:val="28"/>
              </w:rPr>
              <w:t>项号</w:t>
            </w:r>
          </w:p>
        </w:tc>
        <w:tc>
          <w:tcPr>
            <w:tcW w:w="4547" w:type="dxa"/>
            <w:gridSpan w:val="2"/>
            <w:tcBorders>
              <w:top w:val="single" w:sz="4" w:space="0" w:color="000000"/>
              <w:left w:val="single" w:sz="4" w:space="0" w:color="000000"/>
              <w:bottom w:val="single" w:sz="4" w:space="0" w:color="000000"/>
              <w:right w:val="single" w:sz="4" w:space="0" w:color="000000"/>
            </w:tcBorders>
            <w:noWrap/>
            <w:vAlign w:val="center"/>
          </w:tcPr>
          <w:p w14:paraId="341A71E7" w14:textId="77777777" w:rsidR="006D0F62" w:rsidRDefault="000F4050">
            <w:pPr>
              <w:widowControl/>
              <w:jc w:val="center"/>
              <w:textAlignment w:val="center"/>
              <w:rPr>
                <w:rFonts w:ascii="仿宋" w:eastAsia="仿宋" w:hAnsi="仿宋" w:cs="仿宋"/>
                <w:color w:val="000000"/>
                <w:sz w:val="28"/>
                <w:szCs w:val="28"/>
              </w:rPr>
            </w:pPr>
            <w:r>
              <w:rPr>
                <w:rFonts w:ascii="仿宋" w:eastAsia="仿宋" w:hAnsi="仿宋" w:cs="仿宋" w:hint="eastAsia"/>
                <w:color w:val="000000"/>
                <w:sz w:val="28"/>
                <w:szCs w:val="28"/>
              </w:rPr>
              <w:t>评审因素</w:t>
            </w:r>
          </w:p>
        </w:tc>
        <w:tc>
          <w:tcPr>
            <w:tcW w:w="1023" w:type="dxa"/>
            <w:tcBorders>
              <w:top w:val="single" w:sz="4" w:space="0" w:color="000000"/>
              <w:left w:val="single" w:sz="4" w:space="0" w:color="000000"/>
              <w:bottom w:val="single" w:sz="4" w:space="0" w:color="000000"/>
              <w:right w:val="single" w:sz="4" w:space="0" w:color="000000"/>
            </w:tcBorders>
            <w:noWrap/>
            <w:vAlign w:val="center"/>
          </w:tcPr>
          <w:p w14:paraId="26281887" w14:textId="77777777" w:rsidR="006D0F62" w:rsidRDefault="000F4050">
            <w:pPr>
              <w:widowControl/>
              <w:jc w:val="center"/>
              <w:textAlignment w:val="center"/>
              <w:rPr>
                <w:rFonts w:ascii="仿宋" w:eastAsia="仿宋" w:hAnsi="仿宋" w:cs="仿宋"/>
                <w:color w:val="000000"/>
                <w:sz w:val="28"/>
                <w:szCs w:val="28"/>
              </w:rPr>
            </w:pPr>
            <w:r>
              <w:rPr>
                <w:rFonts w:ascii="仿宋" w:eastAsia="仿宋" w:hAnsi="仿宋" w:cs="仿宋" w:hint="eastAsia"/>
                <w:color w:val="000000"/>
                <w:sz w:val="28"/>
                <w:szCs w:val="28"/>
              </w:rPr>
              <w:t>分值</w:t>
            </w:r>
          </w:p>
        </w:tc>
        <w:tc>
          <w:tcPr>
            <w:tcW w:w="3026" w:type="dxa"/>
            <w:tcBorders>
              <w:top w:val="single" w:sz="4" w:space="0" w:color="000000"/>
              <w:left w:val="single" w:sz="4" w:space="0" w:color="000000"/>
              <w:bottom w:val="single" w:sz="4" w:space="0" w:color="000000"/>
              <w:right w:val="single" w:sz="4" w:space="0" w:color="000000"/>
            </w:tcBorders>
            <w:vAlign w:val="center"/>
          </w:tcPr>
          <w:p w14:paraId="70D610D1" w14:textId="77777777" w:rsidR="006D0F62" w:rsidRDefault="000F4050">
            <w:pPr>
              <w:widowControl/>
              <w:jc w:val="center"/>
              <w:textAlignment w:val="center"/>
              <w:rPr>
                <w:rFonts w:ascii="仿宋" w:eastAsia="仿宋" w:hAnsi="仿宋" w:cs="仿宋"/>
                <w:color w:val="000000"/>
                <w:sz w:val="28"/>
                <w:szCs w:val="28"/>
              </w:rPr>
            </w:pPr>
            <w:r>
              <w:rPr>
                <w:rFonts w:ascii="仿宋" w:eastAsia="仿宋" w:hAnsi="仿宋" w:cs="仿宋" w:hint="eastAsia"/>
                <w:color w:val="000000"/>
                <w:sz w:val="28"/>
                <w:szCs w:val="28"/>
              </w:rPr>
              <w:t>评审标准</w:t>
            </w:r>
          </w:p>
        </w:tc>
      </w:tr>
      <w:tr w:rsidR="006D0F62" w14:paraId="68D14DFC" w14:textId="77777777">
        <w:trPr>
          <w:trHeight w:val="1200"/>
        </w:trPr>
        <w:tc>
          <w:tcPr>
            <w:tcW w:w="720" w:type="dxa"/>
            <w:tcBorders>
              <w:top w:val="single" w:sz="4" w:space="0" w:color="000000"/>
              <w:left w:val="single" w:sz="4" w:space="0" w:color="000000"/>
              <w:bottom w:val="single" w:sz="4" w:space="0" w:color="000000"/>
              <w:right w:val="single" w:sz="4" w:space="0" w:color="000000"/>
            </w:tcBorders>
            <w:noWrap/>
            <w:vAlign w:val="center"/>
          </w:tcPr>
          <w:p w14:paraId="76F0C825" w14:textId="77777777" w:rsidR="006D0F62" w:rsidRDefault="000F4050">
            <w:pPr>
              <w:widowControl/>
              <w:jc w:val="center"/>
              <w:textAlignment w:val="center"/>
              <w:rPr>
                <w:rFonts w:ascii="仿宋" w:eastAsia="仿宋" w:hAnsi="仿宋" w:cs="仿宋"/>
                <w:color w:val="000000"/>
                <w:sz w:val="28"/>
                <w:szCs w:val="28"/>
              </w:rPr>
            </w:pPr>
            <w:r>
              <w:rPr>
                <w:rFonts w:ascii="仿宋" w:eastAsia="仿宋" w:hAnsi="仿宋" w:cs="仿宋" w:hint="eastAsia"/>
                <w:color w:val="000000"/>
                <w:kern w:val="0"/>
                <w:sz w:val="28"/>
                <w:szCs w:val="28"/>
                <w:lang w:bidi="ar"/>
              </w:rPr>
              <w:t>1</w:t>
            </w:r>
          </w:p>
        </w:tc>
        <w:tc>
          <w:tcPr>
            <w:tcW w:w="1637" w:type="dxa"/>
            <w:tcBorders>
              <w:top w:val="single" w:sz="4" w:space="0" w:color="000000"/>
              <w:left w:val="single" w:sz="4" w:space="0" w:color="000000"/>
              <w:bottom w:val="single" w:sz="4" w:space="0" w:color="000000"/>
              <w:right w:val="single" w:sz="4" w:space="0" w:color="000000"/>
            </w:tcBorders>
            <w:noWrap/>
            <w:vAlign w:val="center"/>
          </w:tcPr>
          <w:p w14:paraId="04CC812E" w14:textId="77777777" w:rsidR="006D0F62" w:rsidRDefault="000F4050">
            <w:pPr>
              <w:widowControl/>
              <w:jc w:val="center"/>
              <w:textAlignment w:val="center"/>
              <w:rPr>
                <w:rFonts w:ascii="仿宋" w:eastAsia="仿宋" w:hAnsi="仿宋" w:cs="仿宋"/>
                <w:color w:val="000000"/>
                <w:sz w:val="28"/>
                <w:szCs w:val="28"/>
              </w:rPr>
            </w:pPr>
            <w:r>
              <w:rPr>
                <w:rFonts w:ascii="仿宋" w:eastAsia="仿宋" w:hAnsi="仿宋" w:cs="仿宋" w:hint="eastAsia"/>
                <w:color w:val="000000"/>
                <w:kern w:val="0"/>
                <w:sz w:val="28"/>
                <w:szCs w:val="28"/>
                <w:lang w:bidi="ar"/>
              </w:rPr>
              <w:t>食品安全与质量</w:t>
            </w:r>
          </w:p>
        </w:tc>
        <w:tc>
          <w:tcPr>
            <w:tcW w:w="2910" w:type="dxa"/>
            <w:tcBorders>
              <w:top w:val="single" w:sz="4" w:space="0" w:color="000000"/>
              <w:left w:val="single" w:sz="4" w:space="0" w:color="000000"/>
              <w:bottom w:val="single" w:sz="4" w:space="0" w:color="000000"/>
              <w:right w:val="single" w:sz="4" w:space="0" w:color="000000"/>
            </w:tcBorders>
            <w:vAlign w:val="center"/>
          </w:tcPr>
          <w:p w14:paraId="4E482886" w14:textId="5AD9EA43" w:rsidR="006D0F62" w:rsidRDefault="00B6160B">
            <w:pPr>
              <w:widowControl/>
              <w:spacing w:line="320" w:lineRule="exact"/>
              <w:jc w:val="left"/>
              <w:textAlignment w:val="center"/>
              <w:rPr>
                <w:rFonts w:ascii="仿宋" w:eastAsia="仿宋" w:hAnsi="仿宋" w:cs="仿宋"/>
                <w:color w:val="000000"/>
                <w:sz w:val="28"/>
                <w:szCs w:val="28"/>
              </w:rPr>
            </w:pPr>
            <w:r>
              <w:rPr>
                <w:rFonts w:ascii="仿宋" w:eastAsia="仿宋" w:hAnsi="仿宋" w:cs="仿宋" w:hint="eastAsia"/>
                <w:color w:val="000000"/>
                <w:kern w:val="0"/>
                <w:sz w:val="28"/>
                <w:szCs w:val="28"/>
                <w:lang w:bidi="ar"/>
              </w:rPr>
              <w:t>具备相应的营业资质和食品经营证书</w:t>
            </w:r>
            <w:r w:rsidR="000F4050">
              <w:rPr>
                <w:rFonts w:ascii="仿宋" w:eastAsia="仿宋" w:hAnsi="仿宋" w:cs="仿宋" w:hint="eastAsia"/>
                <w:color w:val="000000"/>
                <w:kern w:val="0"/>
                <w:sz w:val="28"/>
                <w:szCs w:val="28"/>
                <w:lang w:bidi="ar"/>
              </w:rPr>
              <w:t>。</w:t>
            </w:r>
          </w:p>
        </w:tc>
        <w:tc>
          <w:tcPr>
            <w:tcW w:w="1023" w:type="dxa"/>
            <w:tcBorders>
              <w:top w:val="single" w:sz="4" w:space="0" w:color="000000"/>
              <w:left w:val="single" w:sz="4" w:space="0" w:color="000000"/>
              <w:bottom w:val="single" w:sz="4" w:space="0" w:color="000000"/>
              <w:right w:val="single" w:sz="4" w:space="0" w:color="000000"/>
            </w:tcBorders>
            <w:noWrap/>
            <w:vAlign w:val="center"/>
          </w:tcPr>
          <w:p w14:paraId="6A4A197E" w14:textId="77777777" w:rsidR="006D0F62" w:rsidRDefault="000F4050">
            <w:pPr>
              <w:widowControl/>
              <w:jc w:val="center"/>
              <w:textAlignment w:val="center"/>
              <w:rPr>
                <w:rFonts w:ascii="仿宋" w:eastAsia="仿宋" w:hAnsi="仿宋" w:cs="仿宋"/>
                <w:color w:val="000000"/>
                <w:sz w:val="28"/>
                <w:szCs w:val="28"/>
              </w:rPr>
            </w:pPr>
            <w:r>
              <w:rPr>
                <w:rFonts w:ascii="仿宋" w:eastAsia="仿宋" w:hAnsi="仿宋" w:cs="仿宋" w:hint="eastAsia"/>
                <w:color w:val="000000"/>
                <w:kern w:val="0"/>
                <w:sz w:val="28"/>
                <w:szCs w:val="28"/>
                <w:lang w:bidi="ar"/>
              </w:rPr>
              <w:t>20</w:t>
            </w:r>
          </w:p>
        </w:tc>
        <w:tc>
          <w:tcPr>
            <w:tcW w:w="3026" w:type="dxa"/>
            <w:tcBorders>
              <w:top w:val="single" w:sz="4" w:space="0" w:color="000000"/>
              <w:left w:val="single" w:sz="4" w:space="0" w:color="000000"/>
              <w:bottom w:val="single" w:sz="4" w:space="0" w:color="000000"/>
              <w:right w:val="single" w:sz="4" w:space="0" w:color="000000"/>
            </w:tcBorders>
            <w:vAlign w:val="center"/>
          </w:tcPr>
          <w:p w14:paraId="4F5113EB" w14:textId="7B4D9C8E" w:rsidR="006D0F62" w:rsidRDefault="000F4050" w:rsidP="00B6160B">
            <w:pPr>
              <w:widowControl/>
              <w:jc w:val="left"/>
              <w:textAlignment w:val="center"/>
              <w:rPr>
                <w:rFonts w:ascii="仿宋" w:eastAsia="仿宋" w:hAnsi="仿宋" w:cs="仿宋"/>
                <w:color w:val="000000"/>
                <w:kern w:val="0"/>
                <w:sz w:val="28"/>
                <w:szCs w:val="28"/>
                <w:lang w:bidi="ar"/>
              </w:rPr>
            </w:pPr>
            <w:r>
              <w:rPr>
                <w:rFonts w:ascii="仿宋" w:eastAsia="仿宋" w:hAnsi="仿宋" w:cs="仿宋" w:hint="eastAsia"/>
                <w:color w:val="000000"/>
                <w:kern w:val="0"/>
                <w:sz w:val="28"/>
                <w:szCs w:val="28"/>
                <w:lang w:bidi="ar"/>
              </w:rPr>
              <w:t>提供</w:t>
            </w:r>
            <w:r w:rsidR="00B6160B">
              <w:rPr>
                <w:rFonts w:ascii="仿宋" w:eastAsia="仿宋" w:hAnsi="仿宋" w:cs="仿宋" w:hint="eastAsia"/>
                <w:color w:val="000000"/>
                <w:kern w:val="0"/>
                <w:sz w:val="28"/>
                <w:szCs w:val="28"/>
                <w:lang w:bidi="ar"/>
              </w:rPr>
              <w:t>营业执照、</w:t>
            </w:r>
            <w:r>
              <w:rPr>
                <w:rFonts w:ascii="仿宋" w:eastAsia="仿宋" w:hAnsi="仿宋" w:cs="仿宋" w:hint="eastAsia"/>
                <w:color w:val="000000"/>
                <w:kern w:val="0"/>
                <w:sz w:val="28"/>
                <w:szCs w:val="28"/>
                <w:lang w:bidi="ar"/>
              </w:rPr>
              <w:t>食品经营许可证的</w:t>
            </w:r>
            <w:r w:rsidR="00B6160B">
              <w:rPr>
                <w:rFonts w:ascii="仿宋" w:eastAsia="仿宋" w:hAnsi="仿宋" w:cs="仿宋" w:hint="eastAsia"/>
                <w:color w:val="000000"/>
                <w:kern w:val="0"/>
                <w:sz w:val="28"/>
                <w:szCs w:val="28"/>
                <w:lang w:bidi="ar"/>
              </w:rPr>
              <w:t>可得20</w:t>
            </w:r>
            <w:r>
              <w:rPr>
                <w:rFonts w:ascii="仿宋" w:eastAsia="仿宋" w:hAnsi="仿宋" w:cs="仿宋" w:hint="eastAsia"/>
                <w:color w:val="000000"/>
                <w:kern w:val="0"/>
                <w:sz w:val="28"/>
                <w:szCs w:val="28"/>
                <w:lang w:bidi="ar"/>
              </w:rPr>
              <w:t>分。</w:t>
            </w:r>
          </w:p>
        </w:tc>
      </w:tr>
      <w:tr w:rsidR="006D0F62" w14:paraId="453B54AD" w14:textId="77777777">
        <w:trPr>
          <w:trHeight w:val="1107"/>
        </w:trPr>
        <w:tc>
          <w:tcPr>
            <w:tcW w:w="720" w:type="dxa"/>
            <w:tcBorders>
              <w:top w:val="single" w:sz="4" w:space="0" w:color="000000"/>
              <w:left w:val="single" w:sz="4" w:space="0" w:color="000000"/>
              <w:bottom w:val="single" w:sz="4" w:space="0" w:color="000000"/>
              <w:right w:val="single" w:sz="4" w:space="0" w:color="000000"/>
            </w:tcBorders>
            <w:noWrap/>
            <w:vAlign w:val="center"/>
          </w:tcPr>
          <w:p w14:paraId="1C5B45CD" w14:textId="77777777" w:rsidR="006D0F62" w:rsidRDefault="000F4050">
            <w:pPr>
              <w:widowControl/>
              <w:jc w:val="center"/>
              <w:textAlignment w:val="center"/>
              <w:rPr>
                <w:rFonts w:ascii="仿宋" w:eastAsia="仿宋" w:hAnsi="仿宋" w:cs="仿宋"/>
                <w:color w:val="000000"/>
                <w:sz w:val="28"/>
                <w:szCs w:val="28"/>
              </w:rPr>
            </w:pPr>
            <w:r>
              <w:rPr>
                <w:rFonts w:ascii="仿宋" w:eastAsia="仿宋" w:hAnsi="仿宋" w:cs="仿宋" w:hint="eastAsia"/>
                <w:color w:val="000000"/>
                <w:kern w:val="0"/>
                <w:sz w:val="28"/>
                <w:szCs w:val="28"/>
                <w:lang w:bidi="ar"/>
              </w:rPr>
              <w:t>2</w:t>
            </w:r>
          </w:p>
        </w:tc>
        <w:tc>
          <w:tcPr>
            <w:tcW w:w="1637" w:type="dxa"/>
            <w:tcBorders>
              <w:top w:val="single" w:sz="4" w:space="0" w:color="000000"/>
              <w:left w:val="single" w:sz="4" w:space="0" w:color="000000"/>
              <w:bottom w:val="single" w:sz="4" w:space="0" w:color="000000"/>
              <w:right w:val="single" w:sz="4" w:space="0" w:color="000000"/>
            </w:tcBorders>
            <w:noWrap/>
            <w:vAlign w:val="center"/>
          </w:tcPr>
          <w:p w14:paraId="457FC449" w14:textId="77777777" w:rsidR="006D0F62" w:rsidRDefault="000F4050">
            <w:pPr>
              <w:widowControl/>
              <w:jc w:val="center"/>
              <w:textAlignment w:val="center"/>
              <w:rPr>
                <w:rFonts w:ascii="仿宋" w:eastAsia="仿宋" w:hAnsi="仿宋" w:cs="仿宋"/>
                <w:color w:val="000000"/>
                <w:sz w:val="28"/>
                <w:szCs w:val="28"/>
              </w:rPr>
            </w:pPr>
            <w:r>
              <w:rPr>
                <w:rFonts w:ascii="仿宋" w:eastAsia="仿宋" w:hAnsi="仿宋" w:cs="仿宋" w:hint="eastAsia"/>
                <w:color w:val="000000"/>
                <w:kern w:val="0"/>
                <w:sz w:val="28"/>
                <w:szCs w:val="28"/>
                <w:lang w:bidi="ar"/>
              </w:rPr>
              <w:t>服务方案</w:t>
            </w:r>
          </w:p>
        </w:tc>
        <w:tc>
          <w:tcPr>
            <w:tcW w:w="2910" w:type="dxa"/>
            <w:tcBorders>
              <w:top w:val="single" w:sz="4" w:space="0" w:color="000000"/>
              <w:left w:val="single" w:sz="4" w:space="0" w:color="000000"/>
              <w:bottom w:val="single" w:sz="4" w:space="0" w:color="000000"/>
              <w:right w:val="single" w:sz="4" w:space="0" w:color="000000"/>
            </w:tcBorders>
            <w:vAlign w:val="center"/>
          </w:tcPr>
          <w:p w14:paraId="0A55DF26" w14:textId="77777777" w:rsidR="006D0F62" w:rsidRDefault="000F4050">
            <w:pPr>
              <w:widowControl/>
              <w:jc w:val="left"/>
              <w:textAlignment w:val="center"/>
              <w:rPr>
                <w:rFonts w:ascii="仿宋" w:eastAsia="仿宋" w:hAnsi="仿宋" w:cs="仿宋"/>
                <w:color w:val="000000"/>
                <w:sz w:val="28"/>
                <w:szCs w:val="28"/>
              </w:rPr>
            </w:pPr>
            <w:r>
              <w:rPr>
                <w:rFonts w:ascii="仿宋" w:eastAsia="仿宋" w:hAnsi="仿宋" w:cs="仿宋" w:hint="eastAsia"/>
                <w:color w:val="000000"/>
                <w:kern w:val="0"/>
                <w:sz w:val="28"/>
                <w:szCs w:val="28"/>
                <w:lang w:bidi="ar"/>
              </w:rPr>
              <w:t>提供优质的售后服务，配送及时、售后服务响应速度快，退换货等政策完善</w:t>
            </w:r>
          </w:p>
        </w:tc>
        <w:tc>
          <w:tcPr>
            <w:tcW w:w="1023" w:type="dxa"/>
            <w:tcBorders>
              <w:top w:val="single" w:sz="4" w:space="0" w:color="000000"/>
              <w:left w:val="single" w:sz="4" w:space="0" w:color="000000"/>
              <w:bottom w:val="single" w:sz="4" w:space="0" w:color="000000"/>
              <w:right w:val="single" w:sz="4" w:space="0" w:color="000000"/>
            </w:tcBorders>
            <w:noWrap/>
            <w:vAlign w:val="center"/>
          </w:tcPr>
          <w:p w14:paraId="2B581EDF" w14:textId="77777777" w:rsidR="006D0F62" w:rsidRDefault="000F4050">
            <w:pPr>
              <w:widowControl/>
              <w:jc w:val="center"/>
              <w:textAlignment w:val="center"/>
              <w:rPr>
                <w:rFonts w:ascii="仿宋" w:eastAsia="仿宋" w:hAnsi="仿宋" w:cs="仿宋"/>
                <w:color w:val="000000"/>
                <w:sz w:val="28"/>
                <w:szCs w:val="28"/>
              </w:rPr>
            </w:pPr>
            <w:r>
              <w:rPr>
                <w:rFonts w:ascii="仿宋" w:eastAsia="仿宋" w:hAnsi="仿宋" w:cs="仿宋" w:hint="eastAsia"/>
                <w:color w:val="000000"/>
                <w:kern w:val="0"/>
                <w:sz w:val="28"/>
                <w:szCs w:val="28"/>
                <w:lang w:bidi="ar"/>
              </w:rPr>
              <w:t>30</w:t>
            </w:r>
          </w:p>
        </w:tc>
        <w:tc>
          <w:tcPr>
            <w:tcW w:w="3026" w:type="dxa"/>
            <w:tcBorders>
              <w:top w:val="single" w:sz="4" w:space="0" w:color="000000"/>
              <w:left w:val="single" w:sz="4" w:space="0" w:color="000000"/>
              <w:bottom w:val="single" w:sz="4" w:space="0" w:color="000000"/>
              <w:right w:val="single" w:sz="4" w:space="0" w:color="000000"/>
            </w:tcBorders>
            <w:vAlign w:val="center"/>
          </w:tcPr>
          <w:p w14:paraId="6F18D8ED" w14:textId="77777777" w:rsidR="006D0F62" w:rsidRDefault="000F4050">
            <w:pPr>
              <w:widowControl/>
              <w:spacing w:line="320" w:lineRule="exact"/>
              <w:jc w:val="left"/>
              <w:textAlignment w:val="center"/>
              <w:rPr>
                <w:rFonts w:ascii="仿宋" w:eastAsia="仿宋" w:hAnsi="仿宋" w:cs="仿宋"/>
                <w:color w:val="000000"/>
                <w:sz w:val="28"/>
                <w:szCs w:val="28"/>
              </w:rPr>
            </w:pPr>
            <w:r>
              <w:rPr>
                <w:rFonts w:ascii="仿宋" w:eastAsia="仿宋" w:hAnsi="仿宋" w:cs="仿宋" w:hint="eastAsia"/>
                <w:color w:val="000000"/>
                <w:kern w:val="0"/>
                <w:sz w:val="28"/>
                <w:szCs w:val="28"/>
                <w:lang w:bidi="ar"/>
              </w:rPr>
              <w:t>一档（10分）：项目生产或销售能力差，管理制度、</w:t>
            </w:r>
            <w:bookmarkStart w:id="0" w:name="_GoBack"/>
            <w:bookmarkEnd w:id="0"/>
            <w:r>
              <w:rPr>
                <w:rFonts w:ascii="仿宋" w:eastAsia="仿宋" w:hAnsi="仿宋" w:cs="仿宋" w:hint="eastAsia"/>
                <w:color w:val="000000"/>
                <w:kern w:val="0"/>
                <w:sz w:val="28"/>
                <w:szCs w:val="28"/>
                <w:lang w:bidi="ar"/>
              </w:rPr>
              <w:t>配送服务方案基本满足要求、描述简单，基本保证配送服务的，食材质量安全保障较差，对问题食材发生紧急事件处理预案内容较差、基本可行的；</w:t>
            </w:r>
            <w:r>
              <w:rPr>
                <w:rFonts w:ascii="仿宋" w:eastAsia="仿宋" w:hAnsi="仿宋" w:cs="仿宋" w:hint="eastAsia"/>
                <w:color w:val="000000"/>
                <w:kern w:val="0"/>
                <w:sz w:val="28"/>
                <w:szCs w:val="28"/>
                <w:lang w:bidi="ar"/>
              </w:rPr>
              <w:br/>
              <w:t>二档（20分）：项目生产或销售能力一般，项目配送供货时间安排合理，管理制度、配送服务方案基本满足要求、描述较简单，具体实施步骤和要求描述较简单，能保证配送服务，食材质量安全保障能力一般，对问题食材发生紧急事件处理预案内容简单；</w:t>
            </w:r>
            <w:r>
              <w:rPr>
                <w:rFonts w:ascii="仿宋" w:eastAsia="仿宋" w:hAnsi="仿宋" w:cs="仿宋" w:hint="eastAsia"/>
                <w:color w:val="000000"/>
                <w:kern w:val="0"/>
                <w:sz w:val="28"/>
                <w:szCs w:val="28"/>
                <w:lang w:bidi="ar"/>
              </w:rPr>
              <w:br/>
              <w:t>三档（30分）：项目生产或销售能力强，项目配送体系、供货时间安排较合理，有较完善的管理制度、配送服务方案，描述较详细，具体实施步骤和要求描述较详细，在保证配送服务业务外有机动人员用于</w:t>
            </w:r>
            <w:r>
              <w:rPr>
                <w:rFonts w:ascii="仿宋" w:eastAsia="仿宋" w:hAnsi="仿宋" w:cs="仿宋" w:hint="eastAsia"/>
                <w:color w:val="000000"/>
                <w:kern w:val="0"/>
                <w:sz w:val="28"/>
                <w:szCs w:val="28"/>
                <w:lang w:bidi="ar"/>
              </w:rPr>
              <w:lastRenderedPageBreak/>
              <w:t>对紧急事件处理，对配送及应急处理响应较快，食材质量安全保障能力强，对问题食材发生紧急事件处理预案内容的较具体，有一定针对性的；</w:t>
            </w:r>
          </w:p>
        </w:tc>
      </w:tr>
      <w:tr w:rsidR="006D0F62" w14:paraId="2DE7D824" w14:textId="77777777">
        <w:trPr>
          <w:trHeight w:val="1350"/>
        </w:trPr>
        <w:tc>
          <w:tcPr>
            <w:tcW w:w="720" w:type="dxa"/>
            <w:tcBorders>
              <w:top w:val="single" w:sz="4" w:space="0" w:color="000000"/>
              <w:left w:val="single" w:sz="4" w:space="0" w:color="000000"/>
              <w:bottom w:val="single" w:sz="4" w:space="0" w:color="000000"/>
              <w:right w:val="single" w:sz="4" w:space="0" w:color="000000"/>
            </w:tcBorders>
            <w:noWrap/>
            <w:vAlign w:val="center"/>
          </w:tcPr>
          <w:p w14:paraId="7A460874" w14:textId="77777777" w:rsidR="006D0F62" w:rsidRDefault="000F4050">
            <w:pPr>
              <w:widowControl/>
              <w:jc w:val="center"/>
              <w:textAlignment w:val="center"/>
              <w:rPr>
                <w:rFonts w:ascii="仿宋" w:eastAsia="仿宋" w:hAnsi="仿宋" w:cs="仿宋"/>
                <w:color w:val="000000"/>
                <w:sz w:val="28"/>
                <w:szCs w:val="28"/>
              </w:rPr>
            </w:pPr>
            <w:r>
              <w:rPr>
                <w:rFonts w:ascii="仿宋" w:eastAsia="仿宋" w:hAnsi="仿宋" w:cs="仿宋" w:hint="eastAsia"/>
                <w:color w:val="000000"/>
                <w:kern w:val="0"/>
                <w:sz w:val="28"/>
                <w:szCs w:val="28"/>
                <w:lang w:bidi="ar"/>
              </w:rPr>
              <w:lastRenderedPageBreak/>
              <w:t>3</w:t>
            </w:r>
          </w:p>
        </w:tc>
        <w:tc>
          <w:tcPr>
            <w:tcW w:w="1637" w:type="dxa"/>
            <w:tcBorders>
              <w:top w:val="single" w:sz="4" w:space="0" w:color="000000"/>
              <w:left w:val="single" w:sz="4" w:space="0" w:color="000000"/>
              <w:bottom w:val="single" w:sz="4" w:space="0" w:color="000000"/>
              <w:right w:val="single" w:sz="4" w:space="0" w:color="000000"/>
            </w:tcBorders>
            <w:noWrap/>
            <w:vAlign w:val="center"/>
          </w:tcPr>
          <w:p w14:paraId="472C6839" w14:textId="77777777" w:rsidR="006D0F62" w:rsidRDefault="000F4050">
            <w:pPr>
              <w:widowControl/>
              <w:jc w:val="center"/>
              <w:textAlignment w:val="center"/>
              <w:rPr>
                <w:rFonts w:ascii="仿宋" w:eastAsia="仿宋" w:hAnsi="仿宋" w:cs="仿宋"/>
                <w:color w:val="000000"/>
                <w:sz w:val="28"/>
                <w:szCs w:val="28"/>
              </w:rPr>
            </w:pPr>
            <w:r>
              <w:rPr>
                <w:rFonts w:ascii="仿宋" w:eastAsia="仿宋" w:hAnsi="仿宋" w:cs="仿宋" w:hint="eastAsia"/>
                <w:color w:val="000000"/>
                <w:kern w:val="0"/>
                <w:sz w:val="28"/>
                <w:szCs w:val="28"/>
                <w:lang w:bidi="ar"/>
              </w:rPr>
              <w:t>服务承诺</w:t>
            </w:r>
          </w:p>
        </w:tc>
        <w:tc>
          <w:tcPr>
            <w:tcW w:w="2910" w:type="dxa"/>
            <w:tcBorders>
              <w:top w:val="single" w:sz="4" w:space="0" w:color="000000"/>
              <w:left w:val="single" w:sz="4" w:space="0" w:color="000000"/>
              <w:bottom w:val="single" w:sz="4" w:space="0" w:color="000000"/>
              <w:right w:val="single" w:sz="4" w:space="0" w:color="000000"/>
            </w:tcBorders>
            <w:vAlign w:val="center"/>
          </w:tcPr>
          <w:p w14:paraId="1E88D0A7" w14:textId="77777777" w:rsidR="006D0F62" w:rsidRDefault="000F4050">
            <w:pPr>
              <w:widowControl/>
              <w:jc w:val="left"/>
              <w:textAlignment w:val="center"/>
              <w:rPr>
                <w:rFonts w:ascii="仿宋" w:eastAsia="仿宋" w:hAnsi="仿宋" w:cs="仿宋"/>
                <w:color w:val="000000"/>
                <w:sz w:val="28"/>
                <w:szCs w:val="28"/>
              </w:rPr>
            </w:pPr>
            <w:r>
              <w:rPr>
                <w:rFonts w:ascii="仿宋" w:eastAsia="仿宋" w:hAnsi="仿宋" w:cs="仿宋" w:hint="eastAsia"/>
                <w:color w:val="000000"/>
                <w:kern w:val="0"/>
                <w:sz w:val="28"/>
                <w:szCs w:val="28"/>
                <w:lang w:bidi="ar"/>
              </w:rPr>
              <w:t>承诺如何确保按期、按质、按量供货；出现问题时如何采取相应的措施；如何保障后期服务</w:t>
            </w:r>
          </w:p>
        </w:tc>
        <w:tc>
          <w:tcPr>
            <w:tcW w:w="1023" w:type="dxa"/>
            <w:tcBorders>
              <w:top w:val="single" w:sz="4" w:space="0" w:color="000000"/>
              <w:left w:val="single" w:sz="4" w:space="0" w:color="000000"/>
              <w:bottom w:val="single" w:sz="4" w:space="0" w:color="000000"/>
              <w:right w:val="single" w:sz="4" w:space="0" w:color="000000"/>
            </w:tcBorders>
            <w:noWrap/>
            <w:vAlign w:val="center"/>
          </w:tcPr>
          <w:p w14:paraId="1A9F5DF5" w14:textId="77777777" w:rsidR="006D0F62" w:rsidRDefault="000F4050">
            <w:pPr>
              <w:widowControl/>
              <w:jc w:val="center"/>
              <w:textAlignment w:val="center"/>
              <w:rPr>
                <w:rFonts w:ascii="仿宋" w:eastAsia="仿宋" w:hAnsi="仿宋" w:cs="仿宋"/>
                <w:color w:val="000000"/>
                <w:sz w:val="28"/>
                <w:szCs w:val="28"/>
              </w:rPr>
            </w:pPr>
            <w:r>
              <w:rPr>
                <w:rFonts w:ascii="仿宋" w:eastAsia="仿宋" w:hAnsi="仿宋" w:cs="仿宋" w:hint="eastAsia"/>
                <w:color w:val="000000"/>
                <w:kern w:val="0"/>
                <w:sz w:val="28"/>
                <w:szCs w:val="28"/>
                <w:lang w:bidi="ar"/>
              </w:rPr>
              <w:t>20</w:t>
            </w:r>
          </w:p>
        </w:tc>
        <w:tc>
          <w:tcPr>
            <w:tcW w:w="3026" w:type="dxa"/>
            <w:tcBorders>
              <w:top w:val="single" w:sz="4" w:space="0" w:color="000000"/>
              <w:left w:val="single" w:sz="4" w:space="0" w:color="000000"/>
              <w:bottom w:val="single" w:sz="4" w:space="0" w:color="000000"/>
              <w:right w:val="single" w:sz="4" w:space="0" w:color="000000"/>
            </w:tcBorders>
            <w:vAlign w:val="center"/>
          </w:tcPr>
          <w:p w14:paraId="26679792" w14:textId="77777777" w:rsidR="006D0F62" w:rsidRDefault="000F4050">
            <w:pPr>
              <w:widowControl/>
              <w:spacing w:line="320" w:lineRule="exact"/>
              <w:jc w:val="left"/>
              <w:textAlignment w:val="center"/>
              <w:rPr>
                <w:rFonts w:ascii="仿宋" w:eastAsia="仿宋" w:hAnsi="仿宋" w:cs="仿宋"/>
                <w:color w:val="000000"/>
                <w:sz w:val="28"/>
                <w:szCs w:val="28"/>
              </w:rPr>
            </w:pPr>
            <w:r>
              <w:rPr>
                <w:rFonts w:ascii="仿宋" w:eastAsia="仿宋" w:hAnsi="仿宋" w:cs="仿宋" w:hint="eastAsia"/>
                <w:color w:val="000000"/>
                <w:kern w:val="0"/>
                <w:sz w:val="28"/>
                <w:szCs w:val="28"/>
                <w:lang w:bidi="ar"/>
              </w:rPr>
              <w:t>一档（5分）服务承诺、措施、后期服务承诺简单。</w:t>
            </w:r>
            <w:r>
              <w:rPr>
                <w:rFonts w:ascii="仿宋" w:eastAsia="仿宋" w:hAnsi="仿宋" w:cs="仿宋" w:hint="eastAsia"/>
                <w:color w:val="000000"/>
                <w:kern w:val="0"/>
                <w:sz w:val="28"/>
                <w:szCs w:val="28"/>
                <w:lang w:bidi="ar"/>
              </w:rPr>
              <w:br/>
              <w:t>二档（15分）服务承诺、措施满足项目需求，后期服务承诺响应满足项目需求。</w:t>
            </w:r>
            <w:r>
              <w:rPr>
                <w:rFonts w:ascii="仿宋" w:eastAsia="仿宋" w:hAnsi="仿宋" w:cs="仿宋" w:hint="eastAsia"/>
                <w:color w:val="000000"/>
                <w:kern w:val="0"/>
                <w:sz w:val="28"/>
                <w:szCs w:val="28"/>
                <w:lang w:bidi="ar"/>
              </w:rPr>
              <w:br/>
              <w:t>三档（20分）有健全、详细、高效的服务承诺、后期售后服务方式多样有效，针对性强。</w:t>
            </w:r>
          </w:p>
        </w:tc>
      </w:tr>
      <w:tr w:rsidR="006D0F62" w14:paraId="6DFB9BFD" w14:textId="77777777">
        <w:trPr>
          <w:trHeight w:val="1305"/>
        </w:trPr>
        <w:tc>
          <w:tcPr>
            <w:tcW w:w="720" w:type="dxa"/>
            <w:tcBorders>
              <w:top w:val="single" w:sz="4" w:space="0" w:color="000000"/>
              <w:left w:val="single" w:sz="4" w:space="0" w:color="000000"/>
              <w:bottom w:val="single" w:sz="4" w:space="0" w:color="000000"/>
              <w:right w:val="single" w:sz="4" w:space="0" w:color="000000"/>
            </w:tcBorders>
            <w:noWrap/>
            <w:vAlign w:val="center"/>
          </w:tcPr>
          <w:p w14:paraId="0406BB7E" w14:textId="77777777" w:rsidR="006D0F62" w:rsidRDefault="000F4050">
            <w:pPr>
              <w:widowControl/>
              <w:jc w:val="center"/>
              <w:textAlignment w:val="center"/>
              <w:rPr>
                <w:rFonts w:ascii="仿宋" w:eastAsia="仿宋" w:hAnsi="仿宋" w:cs="仿宋"/>
                <w:color w:val="000000"/>
                <w:sz w:val="28"/>
                <w:szCs w:val="28"/>
              </w:rPr>
            </w:pPr>
            <w:r>
              <w:rPr>
                <w:rFonts w:ascii="仿宋" w:eastAsia="仿宋" w:hAnsi="仿宋" w:cs="仿宋" w:hint="eastAsia"/>
                <w:color w:val="000000"/>
                <w:kern w:val="0"/>
                <w:sz w:val="28"/>
                <w:szCs w:val="28"/>
                <w:lang w:bidi="ar"/>
              </w:rPr>
              <w:t>4</w:t>
            </w:r>
          </w:p>
        </w:tc>
        <w:tc>
          <w:tcPr>
            <w:tcW w:w="1637" w:type="dxa"/>
            <w:tcBorders>
              <w:top w:val="single" w:sz="4" w:space="0" w:color="000000"/>
              <w:left w:val="single" w:sz="4" w:space="0" w:color="000000"/>
              <w:bottom w:val="single" w:sz="4" w:space="0" w:color="000000"/>
              <w:right w:val="single" w:sz="4" w:space="0" w:color="000000"/>
            </w:tcBorders>
            <w:noWrap/>
            <w:vAlign w:val="center"/>
          </w:tcPr>
          <w:p w14:paraId="159445A9" w14:textId="77777777" w:rsidR="006D0F62" w:rsidRDefault="000F4050">
            <w:pPr>
              <w:widowControl/>
              <w:jc w:val="center"/>
              <w:textAlignment w:val="center"/>
              <w:rPr>
                <w:rFonts w:ascii="仿宋" w:eastAsia="仿宋" w:hAnsi="仿宋" w:cs="仿宋"/>
                <w:color w:val="000000"/>
                <w:sz w:val="28"/>
                <w:szCs w:val="28"/>
              </w:rPr>
            </w:pPr>
            <w:r>
              <w:rPr>
                <w:rFonts w:ascii="仿宋" w:eastAsia="仿宋" w:hAnsi="仿宋" w:cs="仿宋" w:hint="eastAsia"/>
                <w:color w:val="000000"/>
                <w:kern w:val="0"/>
                <w:sz w:val="28"/>
                <w:szCs w:val="28"/>
                <w:lang w:bidi="ar"/>
              </w:rPr>
              <w:t>履约能力</w:t>
            </w:r>
          </w:p>
        </w:tc>
        <w:tc>
          <w:tcPr>
            <w:tcW w:w="2910" w:type="dxa"/>
            <w:tcBorders>
              <w:top w:val="single" w:sz="4" w:space="0" w:color="000000"/>
              <w:left w:val="single" w:sz="4" w:space="0" w:color="000000"/>
              <w:bottom w:val="single" w:sz="4" w:space="0" w:color="000000"/>
              <w:right w:val="single" w:sz="4" w:space="0" w:color="000000"/>
            </w:tcBorders>
            <w:vAlign w:val="center"/>
          </w:tcPr>
          <w:p w14:paraId="208A5CA7" w14:textId="77777777" w:rsidR="006D0F62" w:rsidRDefault="000F4050">
            <w:pPr>
              <w:widowControl/>
              <w:jc w:val="left"/>
              <w:textAlignment w:val="center"/>
              <w:rPr>
                <w:rFonts w:ascii="仿宋" w:eastAsia="仿宋" w:hAnsi="仿宋" w:cs="仿宋"/>
                <w:color w:val="000000"/>
                <w:sz w:val="28"/>
                <w:szCs w:val="28"/>
              </w:rPr>
            </w:pPr>
            <w:r>
              <w:rPr>
                <w:rFonts w:ascii="仿宋" w:eastAsia="仿宋" w:hAnsi="仿宋" w:cs="仿宋" w:hint="eastAsia"/>
                <w:color w:val="000000"/>
                <w:kern w:val="0"/>
                <w:sz w:val="28"/>
                <w:szCs w:val="28"/>
                <w:lang w:bidi="ar"/>
              </w:rPr>
              <w:t>具有良好的履约记录，优质服务荣誉、口碑。</w:t>
            </w:r>
          </w:p>
        </w:tc>
        <w:tc>
          <w:tcPr>
            <w:tcW w:w="1023" w:type="dxa"/>
            <w:tcBorders>
              <w:top w:val="single" w:sz="4" w:space="0" w:color="000000"/>
              <w:left w:val="single" w:sz="4" w:space="0" w:color="000000"/>
              <w:bottom w:val="single" w:sz="4" w:space="0" w:color="000000"/>
              <w:right w:val="single" w:sz="4" w:space="0" w:color="000000"/>
            </w:tcBorders>
            <w:noWrap/>
            <w:vAlign w:val="center"/>
          </w:tcPr>
          <w:p w14:paraId="103FD72B" w14:textId="77777777" w:rsidR="006D0F62" w:rsidRDefault="000F4050">
            <w:pPr>
              <w:widowControl/>
              <w:jc w:val="center"/>
              <w:textAlignment w:val="center"/>
              <w:rPr>
                <w:rFonts w:ascii="仿宋" w:eastAsia="仿宋" w:hAnsi="仿宋" w:cs="仿宋"/>
                <w:color w:val="000000"/>
                <w:sz w:val="28"/>
                <w:szCs w:val="28"/>
              </w:rPr>
            </w:pPr>
            <w:r>
              <w:rPr>
                <w:rFonts w:ascii="仿宋" w:eastAsia="仿宋" w:hAnsi="仿宋" w:cs="仿宋" w:hint="eastAsia"/>
                <w:color w:val="000000"/>
                <w:kern w:val="0"/>
                <w:sz w:val="28"/>
                <w:szCs w:val="28"/>
                <w:lang w:bidi="ar"/>
              </w:rPr>
              <w:t>10</w:t>
            </w:r>
          </w:p>
        </w:tc>
        <w:tc>
          <w:tcPr>
            <w:tcW w:w="3026" w:type="dxa"/>
            <w:tcBorders>
              <w:top w:val="single" w:sz="4" w:space="0" w:color="000000"/>
              <w:left w:val="single" w:sz="4" w:space="0" w:color="000000"/>
              <w:bottom w:val="single" w:sz="4" w:space="0" w:color="000000"/>
              <w:right w:val="single" w:sz="4" w:space="0" w:color="000000"/>
            </w:tcBorders>
            <w:vAlign w:val="center"/>
          </w:tcPr>
          <w:p w14:paraId="27348A3C" w14:textId="77777777" w:rsidR="006D0F62" w:rsidRDefault="000F4050">
            <w:pPr>
              <w:widowControl/>
              <w:spacing w:line="360" w:lineRule="exact"/>
              <w:jc w:val="left"/>
              <w:textAlignment w:val="center"/>
              <w:rPr>
                <w:rFonts w:ascii="仿宋" w:eastAsia="仿宋" w:hAnsi="仿宋" w:cs="仿宋"/>
                <w:color w:val="000000"/>
                <w:sz w:val="28"/>
                <w:szCs w:val="28"/>
              </w:rPr>
            </w:pPr>
            <w:r>
              <w:rPr>
                <w:rFonts w:ascii="仿宋" w:eastAsia="仿宋" w:hAnsi="仿宋" w:cs="仿宋" w:hint="eastAsia"/>
                <w:color w:val="000000"/>
                <w:kern w:val="0"/>
                <w:sz w:val="28"/>
                <w:szCs w:val="28"/>
                <w:lang w:bidi="ar"/>
              </w:rPr>
              <w:t>投标人2020年以来同类项目业绩（以中标、成交通知书或签订的项目合同复印件为准），提供一个得5分，超过1个以上每个可加1分，最高累计加5分。</w:t>
            </w:r>
          </w:p>
        </w:tc>
      </w:tr>
      <w:tr w:rsidR="006D0F62" w14:paraId="495B0638" w14:textId="77777777">
        <w:trPr>
          <w:trHeight w:val="810"/>
        </w:trPr>
        <w:tc>
          <w:tcPr>
            <w:tcW w:w="720" w:type="dxa"/>
            <w:tcBorders>
              <w:top w:val="single" w:sz="4" w:space="0" w:color="000000"/>
              <w:left w:val="single" w:sz="4" w:space="0" w:color="000000"/>
              <w:bottom w:val="single" w:sz="4" w:space="0" w:color="000000"/>
              <w:right w:val="single" w:sz="4" w:space="0" w:color="000000"/>
            </w:tcBorders>
            <w:noWrap/>
            <w:vAlign w:val="center"/>
          </w:tcPr>
          <w:p w14:paraId="413EAD9E" w14:textId="77777777" w:rsidR="006D0F62" w:rsidRDefault="000F4050">
            <w:pPr>
              <w:widowControl/>
              <w:jc w:val="center"/>
              <w:textAlignment w:val="center"/>
              <w:rPr>
                <w:rFonts w:ascii="仿宋" w:eastAsia="仿宋" w:hAnsi="仿宋" w:cs="仿宋"/>
                <w:color w:val="000000"/>
                <w:sz w:val="28"/>
                <w:szCs w:val="28"/>
              </w:rPr>
            </w:pPr>
            <w:r>
              <w:rPr>
                <w:rFonts w:ascii="仿宋" w:eastAsia="仿宋" w:hAnsi="仿宋" w:cs="仿宋" w:hint="eastAsia"/>
                <w:color w:val="000000"/>
                <w:kern w:val="0"/>
                <w:sz w:val="28"/>
                <w:szCs w:val="28"/>
                <w:lang w:bidi="ar"/>
              </w:rPr>
              <w:t>5</w:t>
            </w:r>
          </w:p>
        </w:tc>
        <w:tc>
          <w:tcPr>
            <w:tcW w:w="1637" w:type="dxa"/>
            <w:tcBorders>
              <w:top w:val="single" w:sz="4" w:space="0" w:color="000000"/>
              <w:left w:val="single" w:sz="4" w:space="0" w:color="000000"/>
              <w:bottom w:val="single" w:sz="4" w:space="0" w:color="000000"/>
              <w:right w:val="single" w:sz="4" w:space="0" w:color="000000"/>
            </w:tcBorders>
            <w:noWrap/>
            <w:vAlign w:val="center"/>
          </w:tcPr>
          <w:p w14:paraId="1DBCF922" w14:textId="77777777" w:rsidR="006D0F62" w:rsidRDefault="000F4050">
            <w:pPr>
              <w:widowControl/>
              <w:jc w:val="center"/>
              <w:textAlignment w:val="center"/>
              <w:rPr>
                <w:rFonts w:ascii="仿宋" w:eastAsia="仿宋" w:hAnsi="仿宋" w:cs="仿宋"/>
                <w:color w:val="000000"/>
                <w:sz w:val="28"/>
                <w:szCs w:val="28"/>
              </w:rPr>
            </w:pPr>
            <w:r>
              <w:rPr>
                <w:rFonts w:ascii="仿宋" w:eastAsia="仿宋" w:hAnsi="仿宋" w:cs="仿宋" w:hint="eastAsia"/>
                <w:color w:val="000000"/>
                <w:kern w:val="0"/>
                <w:sz w:val="28"/>
                <w:szCs w:val="28"/>
                <w:lang w:bidi="ar"/>
              </w:rPr>
              <w:t>价格</w:t>
            </w:r>
          </w:p>
        </w:tc>
        <w:tc>
          <w:tcPr>
            <w:tcW w:w="2910" w:type="dxa"/>
            <w:tcBorders>
              <w:top w:val="single" w:sz="4" w:space="0" w:color="000000"/>
              <w:left w:val="single" w:sz="4" w:space="0" w:color="000000"/>
              <w:bottom w:val="single" w:sz="4" w:space="0" w:color="000000"/>
              <w:right w:val="single" w:sz="4" w:space="0" w:color="000000"/>
            </w:tcBorders>
            <w:vAlign w:val="center"/>
          </w:tcPr>
          <w:p w14:paraId="0CBA0300" w14:textId="77777777" w:rsidR="006D0F62" w:rsidRDefault="000F4050">
            <w:pPr>
              <w:widowControl/>
              <w:jc w:val="left"/>
              <w:textAlignment w:val="center"/>
              <w:rPr>
                <w:rFonts w:ascii="仿宋" w:eastAsia="仿宋" w:hAnsi="仿宋" w:cs="仿宋"/>
                <w:color w:val="000000"/>
                <w:sz w:val="28"/>
                <w:szCs w:val="28"/>
              </w:rPr>
            </w:pPr>
            <w:r>
              <w:rPr>
                <w:rFonts w:ascii="仿宋" w:eastAsia="仿宋" w:hAnsi="仿宋" w:cs="仿宋" w:hint="eastAsia"/>
                <w:color w:val="000000"/>
                <w:kern w:val="0"/>
                <w:sz w:val="28"/>
                <w:szCs w:val="28"/>
                <w:lang w:bidi="ar"/>
              </w:rPr>
              <w:t>供应商必须就本项目作完整唯一报价，否则，其投标文件无效。</w:t>
            </w:r>
          </w:p>
        </w:tc>
        <w:tc>
          <w:tcPr>
            <w:tcW w:w="1023" w:type="dxa"/>
            <w:tcBorders>
              <w:top w:val="single" w:sz="4" w:space="0" w:color="000000"/>
              <w:left w:val="single" w:sz="4" w:space="0" w:color="000000"/>
              <w:bottom w:val="single" w:sz="4" w:space="0" w:color="000000"/>
              <w:right w:val="single" w:sz="4" w:space="0" w:color="000000"/>
            </w:tcBorders>
            <w:noWrap/>
            <w:vAlign w:val="center"/>
          </w:tcPr>
          <w:p w14:paraId="0AFF06CA" w14:textId="77777777" w:rsidR="006D0F62" w:rsidRDefault="000F4050">
            <w:pPr>
              <w:widowControl/>
              <w:jc w:val="center"/>
              <w:textAlignment w:val="center"/>
              <w:rPr>
                <w:rFonts w:ascii="仿宋" w:eastAsia="仿宋" w:hAnsi="仿宋" w:cs="仿宋"/>
                <w:color w:val="000000"/>
                <w:sz w:val="28"/>
                <w:szCs w:val="28"/>
              </w:rPr>
            </w:pPr>
            <w:r>
              <w:rPr>
                <w:rFonts w:ascii="仿宋" w:eastAsia="仿宋" w:hAnsi="仿宋" w:cs="仿宋" w:hint="eastAsia"/>
                <w:color w:val="000000"/>
                <w:kern w:val="0"/>
                <w:sz w:val="28"/>
                <w:szCs w:val="28"/>
                <w:lang w:bidi="ar"/>
              </w:rPr>
              <w:t>20</w:t>
            </w:r>
          </w:p>
        </w:tc>
        <w:tc>
          <w:tcPr>
            <w:tcW w:w="3026" w:type="dxa"/>
            <w:tcBorders>
              <w:top w:val="single" w:sz="4" w:space="0" w:color="000000"/>
              <w:left w:val="single" w:sz="4" w:space="0" w:color="000000"/>
              <w:bottom w:val="single" w:sz="4" w:space="0" w:color="000000"/>
              <w:right w:val="single" w:sz="4" w:space="0" w:color="000000"/>
            </w:tcBorders>
            <w:vAlign w:val="center"/>
          </w:tcPr>
          <w:p w14:paraId="00D071CF" w14:textId="77777777" w:rsidR="006D0F62" w:rsidRDefault="000F4050">
            <w:pPr>
              <w:widowControl/>
              <w:spacing w:line="360" w:lineRule="exact"/>
              <w:jc w:val="center"/>
              <w:textAlignment w:val="center"/>
              <w:rPr>
                <w:rFonts w:ascii="仿宋" w:eastAsia="仿宋" w:hAnsi="仿宋" w:cs="仿宋"/>
                <w:color w:val="000000"/>
                <w:sz w:val="28"/>
                <w:szCs w:val="28"/>
              </w:rPr>
            </w:pPr>
            <w:r>
              <w:rPr>
                <w:rFonts w:ascii="仿宋" w:eastAsia="仿宋" w:hAnsi="仿宋" w:cs="仿宋" w:hint="eastAsia"/>
                <w:color w:val="000000"/>
                <w:kern w:val="0"/>
                <w:sz w:val="28"/>
                <w:szCs w:val="28"/>
                <w:lang w:bidi="ar"/>
              </w:rPr>
              <w:t>以进入综合评分环节的最低的评审报价为基准价，基准价报价得分为20分。</w:t>
            </w:r>
            <w:r>
              <w:rPr>
                <w:rFonts w:ascii="仿宋" w:eastAsia="仿宋" w:hAnsi="仿宋" w:cs="仿宋" w:hint="eastAsia"/>
                <w:color w:val="000000"/>
                <w:kern w:val="0"/>
                <w:sz w:val="28"/>
                <w:szCs w:val="28"/>
                <w:lang w:bidi="ar"/>
              </w:rPr>
              <w:br/>
              <w:t>供应商报价得分=（基准价/供应商的评审报价）×20分。</w:t>
            </w:r>
          </w:p>
        </w:tc>
      </w:tr>
      <w:tr w:rsidR="006D0F62" w14:paraId="1AA2A82C" w14:textId="77777777">
        <w:trPr>
          <w:trHeight w:val="702"/>
        </w:trPr>
        <w:tc>
          <w:tcPr>
            <w:tcW w:w="2357" w:type="dxa"/>
            <w:gridSpan w:val="2"/>
            <w:tcBorders>
              <w:top w:val="single" w:sz="4" w:space="0" w:color="000000"/>
              <w:left w:val="single" w:sz="4" w:space="0" w:color="000000"/>
              <w:bottom w:val="single" w:sz="4" w:space="0" w:color="000000"/>
              <w:right w:val="single" w:sz="4" w:space="0" w:color="000000"/>
            </w:tcBorders>
            <w:noWrap/>
            <w:vAlign w:val="center"/>
          </w:tcPr>
          <w:p w14:paraId="6F1800C2" w14:textId="77777777" w:rsidR="006D0F62" w:rsidRDefault="000F4050">
            <w:pPr>
              <w:widowControl/>
              <w:jc w:val="center"/>
              <w:textAlignment w:val="center"/>
              <w:rPr>
                <w:rFonts w:ascii="仿宋" w:eastAsia="仿宋" w:hAnsi="仿宋" w:cs="仿宋"/>
                <w:color w:val="000000"/>
                <w:sz w:val="28"/>
                <w:szCs w:val="28"/>
              </w:rPr>
            </w:pPr>
            <w:r>
              <w:rPr>
                <w:rFonts w:ascii="仿宋" w:eastAsia="仿宋" w:hAnsi="仿宋" w:cs="仿宋" w:hint="eastAsia"/>
                <w:color w:val="000000"/>
                <w:kern w:val="0"/>
                <w:sz w:val="28"/>
                <w:szCs w:val="28"/>
                <w:lang w:bidi="ar"/>
              </w:rPr>
              <w:t>总分</w:t>
            </w:r>
          </w:p>
        </w:tc>
        <w:tc>
          <w:tcPr>
            <w:tcW w:w="2910" w:type="dxa"/>
            <w:tcBorders>
              <w:top w:val="single" w:sz="4" w:space="0" w:color="000000"/>
              <w:left w:val="single" w:sz="4" w:space="0" w:color="000000"/>
              <w:bottom w:val="single" w:sz="4" w:space="0" w:color="000000"/>
              <w:right w:val="single" w:sz="4" w:space="0" w:color="000000"/>
            </w:tcBorders>
            <w:vAlign w:val="center"/>
          </w:tcPr>
          <w:p w14:paraId="0D6E875D" w14:textId="77777777" w:rsidR="006D0F62" w:rsidRDefault="006D0F62">
            <w:pPr>
              <w:jc w:val="center"/>
              <w:rPr>
                <w:rFonts w:ascii="仿宋" w:eastAsia="仿宋" w:hAnsi="仿宋" w:cs="仿宋"/>
                <w:color w:val="000000"/>
                <w:sz w:val="28"/>
                <w:szCs w:val="28"/>
              </w:rPr>
            </w:pPr>
          </w:p>
        </w:tc>
        <w:tc>
          <w:tcPr>
            <w:tcW w:w="1023" w:type="dxa"/>
            <w:tcBorders>
              <w:top w:val="single" w:sz="4" w:space="0" w:color="000000"/>
              <w:left w:val="single" w:sz="4" w:space="0" w:color="000000"/>
              <w:bottom w:val="single" w:sz="4" w:space="0" w:color="000000"/>
              <w:right w:val="single" w:sz="4" w:space="0" w:color="000000"/>
            </w:tcBorders>
            <w:noWrap/>
            <w:vAlign w:val="center"/>
          </w:tcPr>
          <w:p w14:paraId="6CB36681" w14:textId="77777777" w:rsidR="006D0F62" w:rsidRDefault="000F4050">
            <w:pPr>
              <w:widowControl/>
              <w:jc w:val="center"/>
              <w:textAlignment w:val="center"/>
              <w:rPr>
                <w:rFonts w:ascii="仿宋" w:eastAsia="仿宋" w:hAnsi="仿宋" w:cs="仿宋"/>
                <w:color w:val="000000"/>
                <w:sz w:val="28"/>
                <w:szCs w:val="28"/>
              </w:rPr>
            </w:pPr>
            <w:r>
              <w:rPr>
                <w:rFonts w:ascii="仿宋" w:eastAsia="仿宋" w:hAnsi="仿宋" w:cs="仿宋" w:hint="eastAsia"/>
                <w:color w:val="000000"/>
                <w:kern w:val="0"/>
                <w:sz w:val="28"/>
                <w:szCs w:val="28"/>
                <w:lang w:bidi="ar"/>
              </w:rPr>
              <w:t>100</w:t>
            </w:r>
          </w:p>
        </w:tc>
        <w:tc>
          <w:tcPr>
            <w:tcW w:w="3026" w:type="dxa"/>
            <w:tcBorders>
              <w:top w:val="single" w:sz="4" w:space="0" w:color="000000"/>
              <w:left w:val="single" w:sz="4" w:space="0" w:color="000000"/>
              <w:bottom w:val="single" w:sz="4" w:space="0" w:color="000000"/>
              <w:right w:val="single" w:sz="4" w:space="0" w:color="000000"/>
            </w:tcBorders>
            <w:noWrap/>
            <w:vAlign w:val="center"/>
          </w:tcPr>
          <w:p w14:paraId="37DA2BD7" w14:textId="77777777" w:rsidR="006D0F62" w:rsidRDefault="006D0F62">
            <w:pPr>
              <w:jc w:val="center"/>
              <w:rPr>
                <w:rFonts w:ascii="仿宋" w:eastAsia="仿宋" w:hAnsi="仿宋" w:cs="仿宋"/>
                <w:color w:val="000000"/>
                <w:sz w:val="28"/>
                <w:szCs w:val="28"/>
              </w:rPr>
            </w:pPr>
          </w:p>
        </w:tc>
      </w:tr>
    </w:tbl>
    <w:p w14:paraId="7169D13D" w14:textId="77777777" w:rsidR="006D0F62" w:rsidRDefault="006D0F62"/>
    <w:sectPr w:rsidR="006D0F62">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4E20F95"/>
    <w:rsid w:val="000F4050"/>
    <w:rsid w:val="006D0F62"/>
    <w:rsid w:val="00B6160B"/>
    <w:rsid w:val="64E20F9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imes New Roman" w:eastAsia="宋体" w:hAnsi="Times New Roman" w:cs="Times New Roman"/>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qFormat/>
    <w:pPr>
      <w:widowControl/>
      <w:spacing w:before="100" w:beforeAutospacing="1" w:after="100" w:afterAutospacing="1"/>
      <w:jc w:val="left"/>
    </w:pPr>
    <w:rPr>
      <w:rFonts w:ascii="宋体" w:hAnsi="宋体" w:cs="宋体"/>
      <w:kern w:val="0"/>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imes New Roman" w:eastAsia="宋体" w:hAnsi="Times New Roman" w:cs="Times New Roman"/>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qFormat/>
    <w:pPr>
      <w:widowControl/>
      <w:spacing w:before="100" w:beforeAutospacing="1" w:after="100" w:afterAutospacing="1"/>
      <w:jc w:val="left"/>
    </w:pPr>
    <w:rPr>
      <w:rFonts w:ascii="宋体" w:hAnsi="宋体" w:cs="宋体"/>
      <w:kern w:val="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3</Pages>
  <Words>1298</Words>
  <Characters>87</Characters>
  <Application>Microsoft Office Word</Application>
  <DocSecurity>0</DocSecurity>
  <Lines>1</Lines>
  <Paragraphs>2</Paragraphs>
  <ScaleCrop>false</ScaleCrop>
  <Company/>
  <LinksUpToDate>false</LinksUpToDate>
  <CharactersWithSpaces>1383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白露未已º</dc:creator>
  <cp:lastModifiedBy>城区办公室</cp:lastModifiedBy>
  <cp:revision>3</cp:revision>
  <dcterms:created xsi:type="dcterms:W3CDTF">2024-12-27T07:39:00Z</dcterms:created>
  <dcterms:modified xsi:type="dcterms:W3CDTF">2025-01-03T07:52:00Z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7E9B1A12A5FF4D168568AE7BF31E0E36_11</vt:lpwstr>
  </property>
  <property fmtid="{D5CDD505-2E9C-101B-9397-08002B2CF9AE}" pid="4" name="KSOTemplateDocerSaveRecord">
    <vt:lpwstr>eyJoZGlkIjoiOGM2OTlmYTQ5NGIyZTFlZDU1YTE1MWZmYjAzZTY1NzciLCJ1c2VySWQiOiI4NzYxMzA0MjgifQ==</vt:lpwstr>
  </property>
</Properties>
</file>