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B89EF68">
      <w:pPr>
        <w:jc w:val="center"/>
        <w:rPr>
          <w:rFonts w:hint="eastAsia" w:ascii="方正小标宋简体" w:hAnsi="方正小标宋简体" w:eastAsia="方正小标宋简体" w:cs="方正小标宋简体"/>
          <w:b w:val="0"/>
          <w:bCs/>
          <w:sz w:val="44"/>
          <w:szCs w:val="44"/>
          <w:lang w:val="en-US" w:eastAsia="zh-CN"/>
        </w:rPr>
      </w:pPr>
      <w:r>
        <w:rPr>
          <w:rFonts w:hint="eastAsia" w:ascii="方正小标宋简体" w:hAnsi="方正小标宋简体" w:eastAsia="方正小标宋简体" w:cs="方正小标宋简体"/>
          <w:b w:val="0"/>
          <w:bCs/>
          <w:sz w:val="44"/>
          <w:szCs w:val="44"/>
          <w:lang w:val="en-US" w:eastAsia="zh-CN"/>
        </w:rPr>
        <w:t>评标办法（综合评估法）</w:t>
      </w:r>
    </w:p>
    <w:p w14:paraId="060E2C24">
      <w:pPr>
        <w:pStyle w:val="2"/>
        <w:keepNext w:val="0"/>
        <w:keepLines w:val="0"/>
        <w:pageBreakBefore w:val="0"/>
        <w:widowControl/>
        <w:kinsoku/>
        <w:wordWrap/>
        <w:overflowPunct/>
        <w:topLinePunct w:val="0"/>
        <w:autoSpaceDE/>
        <w:autoSpaceDN/>
        <w:bidi w:val="0"/>
        <w:adjustRightInd/>
        <w:spacing w:before="0" w:beforeAutospacing="0" w:after="0" w:afterAutospacing="0" w:line="600" w:lineRule="exact"/>
        <w:ind w:firstLine="640" w:firstLineChars="200"/>
        <w:jc w:val="both"/>
        <w:textAlignment w:val="auto"/>
        <w:rPr>
          <w:rFonts w:hint="eastAsia" w:ascii="黑体" w:hAnsi="黑体" w:eastAsia="黑体" w:cs="黑体"/>
          <w:b w:val="0"/>
          <w:bCs/>
          <w:sz w:val="32"/>
          <w:szCs w:val="32"/>
          <w:lang w:eastAsia="zh-CN"/>
        </w:rPr>
      </w:pPr>
      <w:r>
        <w:rPr>
          <w:rFonts w:hint="eastAsia" w:ascii="黑体" w:hAnsi="黑体" w:eastAsia="黑体" w:cs="黑体"/>
          <w:b w:val="0"/>
          <w:bCs/>
          <w:sz w:val="32"/>
          <w:szCs w:val="32"/>
          <w:lang w:eastAsia="zh-CN"/>
        </w:rPr>
        <w:t>一、评标委员会组成</w:t>
      </w:r>
    </w:p>
    <w:p w14:paraId="7C2AED70">
      <w:pPr>
        <w:spacing w:line="540" w:lineRule="exact"/>
        <w:ind w:firstLine="560" w:firstLineChars="200"/>
        <w:rPr>
          <w:rFonts w:hint="default" w:ascii="仿宋_GB2312" w:hAnsi="Times New Roman" w:eastAsia="仿宋_GB2312" w:cs="仿宋_GB2312"/>
          <w:sz w:val="28"/>
          <w:szCs w:val="28"/>
          <w:lang w:val="en-US" w:eastAsia="zh-CN"/>
        </w:rPr>
      </w:pPr>
      <w:r>
        <w:rPr>
          <w:rFonts w:hint="eastAsia" w:ascii="仿宋_GB2312" w:hAnsi="Times New Roman" w:eastAsia="仿宋_GB2312" w:cs="仿宋_GB2312"/>
          <w:sz w:val="28"/>
          <w:szCs w:val="28"/>
          <w:lang w:val="en-US" w:eastAsia="zh-CN"/>
        </w:rPr>
        <w:t>在纪检监察室的监督下，采购科室、安全与国有资产管理科从广西壮族自治区柳州城区公路养护中心自行采购评审专家库随机抽出3名评委，组成当次评审小组，负责当次自行采购项目的评审工作。参加过当次采购项目询价采购文件编制、审核事宜的工作人员不能为当次评委。</w:t>
      </w:r>
    </w:p>
    <w:p w14:paraId="29DB606B">
      <w:pPr>
        <w:pStyle w:val="2"/>
        <w:keepNext w:val="0"/>
        <w:keepLines w:val="0"/>
        <w:pageBreakBefore w:val="0"/>
        <w:widowControl/>
        <w:kinsoku/>
        <w:wordWrap/>
        <w:overflowPunct/>
        <w:topLinePunct w:val="0"/>
        <w:autoSpaceDE/>
        <w:autoSpaceDN/>
        <w:bidi w:val="0"/>
        <w:adjustRightInd/>
        <w:spacing w:before="0" w:beforeAutospacing="0" w:after="0" w:afterAutospacing="0" w:line="600" w:lineRule="exact"/>
        <w:ind w:firstLine="640" w:firstLineChars="200"/>
        <w:jc w:val="both"/>
        <w:textAlignment w:val="auto"/>
        <w:rPr>
          <w:rFonts w:hint="eastAsia" w:ascii="黑体" w:hAnsi="黑体" w:eastAsia="黑体" w:cs="黑体"/>
          <w:b w:val="0"/>
          <w:bCs/>
          <w:sz w:val="32"/>
          <w:szCs w:val="32"/>
          <w:lang w:eastAsia="zh-CN"/>
        </w:rPr>
      </w:pPr>
      <w:r>
        <w:rPr>
          <w:rFonts w:hint="eastAsia" w:ascii="黑体" w:hAnsi="黑体" w:eastAsia="黑体" w:cs="黑体"/>
          <w:b w:val="0"/>
          <w:bCs/>
          <w:sz w:val="32"/>
          <w:szCs w:val="32"/>
          <w:lang w:eastAsia="zh-CN"/>
        </w:rPr>
        <w:t>二、评标原则和评标办法</w:t>
      </w:r>
    </w:p>
    <w:p w14:paraId="44D368CC">
      <w:pPr>
        <w:spacing w:line="540" w:lineRule="exact"/>
        <w:ind w:firstLine="560" w:firstLineChars="200"/>
        <w:rPr>
          <w:rFonts w:hint="eastAsia" w:ascii="仿宋_GB2312" w:hAnsi="Times New Roman" w:eastAsia="仿宋_GB2312" w:cs="仿宋_GB2312"/>
          <w:sz w:val="28"/>
          <w:szCs w:val="28"/>
          <w:lang w:val="en-US" w:eastAsia="zh-CN"/>
        </w:rPr>
      </w:pPr>
      <w:r>
        <w:rPr>
          <w:rFonts w:hint="eastAsia" w:ascii="仿宋_GB2312" w:hAnsi="Times New Roman" w:eastAsia="仿宋_GB2312" w:cs="仿宋_GB2312"/>
          <w:sz w:val="28"/>
          <w:szCs w:val="28"/>
          <w:lang w:val="en-US" w:eastAsia="zh-CN"/>
        </w:rPr>
        <w:t>（一）评标委员会必须坚持公平、公正、科学和择优的原则。</w:t>
      </w:r>
    </w:p>
    <w:p w14:paraId="641FB6F3">
      <w:pPr>
        <w:spacing w:line="540" w:lineRule="exact"/>
        <w:ind w:firstLine="560" w:firstLineChars="200"/>
        <w:rPr>
          <w:rFonts w:hint="eastAsia" w:ascii="仿宋_GB2312" w:hAnsi="Times New Roman" w:eastAsia="仿宋_GB2312" w:cs="仿宋_GB2312"/>
          <w:sz w:val="28"/>
          <w:szCs w:val="28"/>
          <w:lang w:val="en-US" w:eastAsia="zh-CN"/>
        </w:rPr>
      </w:pPr>
      <w:r>
        <w:rPr>
          <w:rFonts w:hint="eastAsia" w:ascii="仿宋_GB2312" w:hAnsi="Times New Roman" w:eastAsia="仿宋_GB2312" w:cs="仿宋_GB2312"/>
          <w:sz w:val="28"/>
          <w:szCs w:val="28"/>
          <w:lang w:val="en-US" w:eastAsia="zh-CN"/>
        </w:rPr>
        <w:t>（二）评标办法：综合评分法，具体评标内容及标准详见评标办法。</w:t>
      </w:r>
    </w:p>
    <w:p w14:paraId="310E87DC">
      <w:pPr>
        <w:spacing w:line="540" w:lineRule="exact"/>
        <w:ind w:firstLine="560" w:firstLineChars="200"/>
        <w:rPr>
          <w:rFonts w:hint="eastAsia" w:ascii="仿宋_GB2312" w:hAnsi="Times New Roman" w:eastAsia="仿宋_GB2312" w:cs="仿宋_GB2312"/>
          <w:sz w:val="28"/>
          <w:szCs w:val="28"/>
          <w:lang w:val="en-US" w:eastAsia="zh-CN"/>
        </w:rPr>
      </w:pPr>
      <w:r>
        <w:rPr>
          <w:rFonts w:hint="eastAsia" w:ascii="仿宋_GB2312" w:hAnsi="Times New Roman" w:eastAsia="仿宋_GB2312" w:cs="仿宋_GB2312"/>
          <w:sz w:val="28"/>
          <w:szCs w:val="28"/>
          <w:lang w:val="en-US" w:eastAsia="zh-CN"/>
        </w:rPr>
        <w:t>（三）评标委员会应按招标文件进行评标，不得擅自更改评标办法。</w:t>
      </w:r>
    </w:p>
    <w:p w14:paraId="15B8802D">
      <w:pPr>
        <w:spacing w:line="540" w:lineRule="exact"/>
        <w:ind w:firstLine="560" w:firstLineChars="200"/>
        <w:rPr>
          <w:rFonts w:hint="eastAsia" w:ascii="仿宋_GB2312" w:hAnsi="Times New Roman" w:eastAsia="仿宋_GB2312" w:cs="仿宋_GB2312"/>
          <w:sz w:val="28"/>
          <w:szCs w:val="28"/>
          <w:lang w:val="en-US" w:eastAsia="zh-CN"/>
        </w:rPr>
      </w:pPr>
      <w:r>
        <w:rPr>
          <w:rFonts w:hint="eastAsia" w:ascii="仿宋_GB2312" w:hAnsi="Times New Roman" w:eastAsia="仿宋_GB2312" w:cs="仿宋_GB2312"/>
          <w:sz w:val="28"/>
          <w:szCs w:val="28"/>
          <w:lang w:val="en-US" w:eastAsia="zh-CN"/>
        </w:rPr>
        <w:t>（四）评标委员会成员对需要共同认定的事项存在争议的，按照少数服从多数的原则作出结论。持不同意见的评标委员会成员应当在评审报告上签署不同意见并说明理由，否则视为同意。</w:t>
      </w:r>
    </w:p>
    <w:p w14:paraId="0F3D9AEB">
      <w:pPr>
        <w:pStyle w:val="2"/>
        <w:keepNext w:val="0"/>
        <w:keepLines w:val="0"/>
        <w:pageBreakBefore w:val="0"/>
        <w:widowControl/>
        <w:kinsoku/>
        <w:wordWrap/>
        <w:overflowPunct/>
        <w:topLinePunct w:val="0"/>
        <w:autoSpaceDE/>
        <w:autoSpaceDN/>
        <w:bidi w:val="0"/>
        <w:adjustRightInd/>
        <w:spacing w:before="0" w:beforeAutospacing="0" w:after="0" w:afterAutospacing="0" w:line="600" w:lineRule="exact"/>
        <w:ind w:firstLine="640" w:firstLineChars="200"/>
        <w:jc w:val="both"/>
        <w:textAlignment w:val="auto"/>
        <w:rPr>
          <w:rFonts w:hint="eastAsia" w:ascii="黑体" w:hAnsi="黑体" w:eastAsia="黑体" w:cs="黑体"/>
          <w:b w:val="0"/>
          <w:bCs/>
          <w:sz w:val="32"/>
          <w:szCs w:val="32"/>
          <w:lang w:eastAsia="zh-CN"/>
        </w:rPr>
      </w:pPr>
      <w:r>
        <w:rPr>
          <w:rFonts w:hint="eastAsia" w:ascii="黑体" w:hAnsi="黑体" w:eastAsia="黑体" w:cs="黑体"/>
          <w:b w:val="0"/>
          <w:bCs/>
          <w:sz w:val="32"/>
          <w:szCs w:val="32"/>
          <w:lang w:eastAsia="zh-CN"/>
        </w:rPr>
        <w:t>三、评审依据及方式</w:t>
      </w:r>
    </w:p>
    <w:p w14:paraId="1E011A7A">
      <w:pPr>
        <w:spacing w:line="540" w:lineRule="exact"/>
        <w:ind w:firstLine="560" w:firstLineChars="200"/>
        <w:rPr>
          <w:rFonts w:hint="eastAsia" w:ascii="仿宋_GB2312" w:hAnsi="Times New Roman" w:eastAsia="仿宋_GB2312" w:cs="仿宋_GB2312"/>
          <w:sz w:val="28"/>
          <w:szCs w:val="28"/>
          <w:lang w:val="en-US" w:eastAsia="zh-CN"/>
        </w:rPr>
      </w:pPr>
      <w:r>
        <w:rPr>
          <w:rFonts w:hint="eastAsia" w:ascii="仿宋_GB2312" w:hAnsi="Times New Roman" w:eastAsia="仿宋_GB2312" w:cs="仿宋_GB2312"/>
          <w:sz w:val="28"/>
          <w:szCs w:val="28"/>
          <w:lang w:val="en-US" w:eastAsia="zh-CN"/>
        </w:rPr>
        <w:t>1.评审依据：评标委员会以招标文件和投标文件为评审依据，对供应商的报价、技术、应急处理机制、企业实力信誉、售后服务承诺及业绩等方面内容按百分制打分。</w:t>
      </w:r>
    </w:p>
    <w:p w14:paraId="245BDE64">
      <w:pPr>
        <w:spacing w:line="540" w:lineRule="exact"/>
        <w:ind w:firstLine="560" w:firstLineChars="200"/>
        <w:rPr>
          <w:rFonts w:hint="eastAsia" w:ascii="仿宋_GB2312" w:hAnsi="Times New Roman" w:eastAsia="仿宋_GB2312" w:cs="仿宋_GB2312"/>
          <w:sz w:val="28"/>
          <w:szCs w:val="28"/>
          <w:lang w:val="en-US" w:eastAsia="zh-CN"/>
        </w:rPr>
      </w:pPr>
      <w:r>
        <w:rPr>
          <w:rFonts w:hint="eastAsia" w:ascii="仿宋_GB2312" w:hAnsi="Times New Roman" w:eastAsia="仿宋_GB2312" w:cs="仿宋_GB2312"/>
          <w:sz w:val="28"/>
          <w:szCs w:val="28"/>
          <w:lang w:val="en-US" w:eastAsia="zh-CN"/>
        </w:rPr>
        <w:t>2.评审方式：以封闭方式进行评审。</w:t>
      </w:r>
    </w:p>
    <w:p w14:paraId="15EC1EC4">
      <w:pPr>
        <w:spacing w:line="540" w:lineRule="exact"/>
        <w:ind w:firstLine="560" w:firstLineChars="200"/>
        <w:rPr>
          <w:rFonts w:hint="eastAsia" w:ascii="仿宋_GB2312" w:hAnsi="Times New Roman" w:eastAsia="仿宋_GB2312" w:cs="仿宋_GB2312"/>
          <w:sz w:val="28"/>
          <w:szCs w:val="28"/>
          <w:lang w:val="en-US" w:eastAsia="zh-CN"/>
        </w:rPr>
      </w:pPr>
      <w:r>
        <w:rPr>
          <w:rFonts w:hint="eastAsia" w:ascii="仿宋_GB2312" w:hAnsi="Times New Roman" w:eastAsia="仿宋_GB2312" w:cs="仿宋_GB2312"/>
          <w:sz w:val="28"/>
          <w:szCs w:val="28"/>
          <w:lang w:val="en-US" w:eastAsia="zh-CN"/>
        </w:rPr>
        <w:t>3.根据财库〔2012〕69号文规定，采购人和采购代理机构，评标委员会要严格遵守政府采购相关法律制度，依法履行各自职责，公正、客观、审慎地组织和参与评审工作。</w:t>
      </w:r>
    </w:p>
    <w:p w14:paraId="5C1919A1">
      <w:pPr>
        <w:pStyle w:val="2"/>
        <w:keepNext w:val="0"/>
        <w:keepLines w:val="0"/>
        <w:pageBreakBefore w:val="0"/>
        <w:widowControl/>
        <w:kinsoku/>
        <w:wordWrap/>
        <w:overflowPunct/>
        <w:topLinePunct w:val="0"/>
        <w:autoSpaceDE/>
        <w:autoSpaceDN/>
        <w:bidi w:val="0"/>
        <w:adjustRightInd/>
        <w:spacing w:before="0" w:beforeAutospacing="0" w:after="0" w:afterAutospacing="0" w:line="600" w:lineRule="exact"/>
        <w:ind w:firstLine="640" w:firstLineChars="200"/>
        <w:jc w:val="both"/>
        <w:textAlignment w:val="auto"/>
        <w:rPr>
          <w:rFonts w:hint="eastAsia" w:ascii="黑体" w:hAnsi="黑体" w:eastAsia="黑体" w:cs="黑体"/>
          <w:b w:val="0"/>
          <w:bCs/>
          <w:sz w:val="32"/>
          <w:szCs w:val="32"/>
          <w:lang w:eastAsia="zh-CN"/>
        </w:rPr>
      </w:pPr>
      <w:r>
        <w:rPr>
          <w:rFonts w:hint="eastAsia" w:ascii="黑体" w:hAnsi="黑体" w:eastAsia="黑体" w:cs="黑体"/>
          <w:b w:val="0"/>
          <w:bCs/>
          <w:sz w:val="32"/>
          <w:szCs w:val="32"/>
          <w:lang w:eastAsia="zh-CN"/>
        </w:rPr>
        <w:t>四、评审办法</w:t>
      </w:r>
    </w:p>
    <w:p w14:paraId="67ACB2BF">
      <w:pPr>
        <w:spacing w:line="540" w:lineRule="exact"/>
        <w:ind w:firstLine="560" w:firstLineChars="200"/>
        <w:rPr>
          <w:rFonts w:hint="eastAsia" w:ascii="仿宋_GB2312" w:hAnsi="Times New Roman" w:eastAsia="仿宋_GB2312" w:cs="仿宋_GB2312"/>
          <w:sz w:val="28"/>
          <w:szCs w:val="28"/>
          <w:lang w:val="en-US" w:eastAsia="zh-CN"/>
        </w:rPr>
      </w:pPr>
      <w:r>
        <w:rPr>
          <w:rFonts w:hint="eastAsia" w:ascii="仿宋_GB2312" w:hAnsi="Times New Roman" w:eastAsia="仿宋_GB2312" w:cs="仿宋_GB2312"/>
          <w:sz w:val="28"/>
          <w:szCs w:val="28"/>
          <w:lang w:val="en-US" w:eastAsia="zh-CN"/>
        </w:rPr>
        <w:t xml:space="preserve">  （一）对进入详评的，采用综合评估法。</w:t>
      </w:r>
    </w:p>
    <w:tbl>
      <w:tblPr>
        <w:tblStyle w:val="3"/>
        <w:tblW w:w="9316"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20"/>
        <w:gridCol w:w="1637"/>
        <w:gridCol w:w="2910"/>
        <w:gridCol w:w="1023"/>
        <w:gridCol w:w="3026"/>
      </w:tblGrid>
      <w:tr w14:paraId="458301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720" w:type="dxa"/>
            <w:tcBorders>
              <w:top w:val="single" w:color="000000" w:sz="4" w:space="0"/>
              <w:left w:val="single" w:color="000000" w:sz="4" w:space="0"/>
              <w:bottom w:val="single" w:color="000000" w:sz="4" w:space="0"/>
              <w:right w:val="single" w:color="000000" w:sz="4" w:space="0"/>
            </w:tcBorders>
            <w:noWrap/>
            <w:vAlign w:val="center"/>
          </w:tcPr>
          <w:p w14:paraId="36CE6D98">
            <w:pPr>
              <w:widowControl/>
              <w:autoSpaceDE w:val="0"/>
              <w:autoSpaceDN w:val="0"/>
              <w:spacing w:line="460" w:lineRule="exact"/>
              <w:textAlignment w:val="bottom"/>
              <w:rPr>
                <w:rFonts w:hint="eastAsia" w:ascii="仿宋" w:hAnsi="仿宋" w:eastAsia="仿宋" w:cs="仿宋"/>
                <w:i w:val="0"/>
                <w:iCs w:val="0"/>
                <w:color w:val="000000"/>
                <w:sz w:val="28"/>
                <w:szCs w:val="28"/>
                <w:u w:val="none"/>
                <w:lang w:val="en-US" w:eastAsia="zh-CN"/>
              </w:rPr>
            </w:pPr>
            <w:r>
              <w:rPr>
                <w:rFonts w:hint="eastAsia" w:ascii="仿宋" w:hAnsi="仿宋" w:eastAsia="仿宋" w:cs="仿宋"/>
                <w:i w:val="0"/>
                <w:iCs w:val="0"/>
                <w:color w:val="000000"/>
                <w:sz w:val="28"/>
                <w:szCs w:val="28"/>
                <w:u w:val="none"/>
                <w:lang w:val="en-US" w:eastAsia="zh-CN"/>
              </w:rPr>
              <w:t>项号</w:t>
            </w:r>
          </w:p>
        </w:tc>
        <w:tc>
          <w:tcPr>
            <w:tcW w:w="4547" w:type="dxa"/>
            <w:gridSpan w:val="2"/>
            <w:tcBorders>
              <w:top w:val="single" w:color="000000" w:sz="4" w:space="0"/>
              <w:left w:val="single" w:color="000000" w:sz="4" w:space="0"/>
              <w:bottom w:val="single" w:color="000000" w:sz="4" w:space="0"/>
              <w:right w:val="single" w:color="000000" w:sz="4" w:space="0"/>
            </w:tcBorders>
            <w:noWrap/>
            <w:vAlign w:val="center"/>
          </w:tcPr>
          <w:p w14:paraId="341A71E7">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sz w:val="28"/>
                <w:szCs w:val="28"/>
                <w:u w:val="none"/>
                <w:lang w:val="en-US" w:eastAsia="zh-CN"/>
              </w:rPr>
              <w:t>评审因素</w:t>
            </w:r>
          </w:p>
        </w:tc>
        <w:tc>
          <w:tcPr>
            <w:tcW w:w="1023" w:type="dxa"/>
            <w:tcBorders>
              <w:top w:val="single" w:color="000000" w:sz="4" w:space="0"/>
              <w:left w:val="single" w:color="000000" w:sz="4" w:space="0"/>
              <w:bottom w:val="single" w:color="000000" w:sz="4" w:space="0"/>
              <w:right w:val="single" w:color="000000" w:sz="4" w:space="0"/>
            </w:tcBorders>
            <w:noWrap/>
            <w:vAlign w:val="center"/>
          </w:tcPr>
          <w:p w14:paraId="26281887">
            <w:pPr>
              <w:keepNext w:val="0"/>
              <w:keepLines w:val="0"/>
              <w:widowControl/>
              <w:suppressLineNumbers w:val="0"/>
              <w:jc w:val="center"/>
              <w:textAlignment w:val="center"/>
              <w:rPr>
                <w:rFonts w:hint="eastAsia" w:ascii="仿宋" w:hAnsi="仿宋" w:eastAsia="仿宋" w:cs="仿宋"/>
                <w:i w:val="0"/>
                <w:iCs w:val="0"/>
                <w:color w:val="000000"/>
                <w:sz w:val="28"/>
                <w:szCs w:val="28"/>
                <w:u w:val="none"/>
                <w:lang w:val="en-US" w:eastAsia="zh-CN"/>
              </w:rPr>
            </w:pPr>
            <w:r>
              <w:rPr>
                <w:rFonts w:hint="eastAsia" w:ascii="仿宋" w:hAnsi="仿宋" w:eastAsia="仿宋" w:cs="仿宋"/>
                <w:i w:val="0"/>
                <w:iCs w:val="0"/>
                <w:color w:val="000000"/>
                <w:sz w:val="28"/>
                <w:szCs w:val="28"/>
                <w:u w:val="none"/>
                <w:lang w:val="en-US" w:eastAsia="zh-CN"/>
              </w:rPr>
              <w:t>分值</w:t>
            </w:r>
          </w:p>
        </w:tc>
        <w:tc>
          <w:tcPr>
            <w:tcW w:w="3026" w:type="dxa"/>
            <w:tcBorders>
              <w:top w:val="single" w:color="000000" w:sz="4" w:space="0"/>
              <w:left w:val="single" w:color="000000" w:sz="4" w:space="0"/>
              <w:bottom w:val="single" w:color="000000" w:sz="4" w:space="0"/>
              <w:right w:val="single" w:color="000000" w:sz="4" w:space="0"/>
            </w:tcBorders>
            <w:noWrap w:val="0"/>
            <w:vAlign w:val="center"/>
          </w:tcPr>
          <w:p w14:paraId="70D610D1">
            <w:pPr>
              <w:keepNext w:val="0"/>
              <w:keepLines w:val="0"/>
              <w:widowControl/>
              <w:suppressLineNumbers w:val="0"/>
              <w:jc w:val="center"/>
              <w:textAlignment w:val="center"/>
              <w:rPr>
                <w:rFonts w:hint="eastAsia" w:ascii="仿宋" w:hAnsi="仿宋" w:eastAsia="仿宋" w:cs="仿宋"/>
                <w:i w:val="0"/>
                <w:iCs w:val="0"/>
                <w:color w:val="000000"/>
                <w:sz w:val="28"/>
                <w:szCs w:val="28"/>
                <w:u w:val="none"/>
                <w:lang w:val="en-US" w:eastAsia="zh-CN"/>
              </w:rPr>
            </w:pPr>
            <w:r>
              <w:rPr>
                <w:rFonts w:hint="eastAsia" w:ascii="仿宋" w:hAnsi="仿宋" w:eastAsia="仿宋" w:cs="仿宋"/>
                <w:i w:val="0"/>
                <w:iCs w:val="0"/>
                <w:color w:val="000000"/>
                <w:sz w:val="28"/>
                <w:szCs w:val="28"/>
                <w:u w:val="none"/>
                <w:lang w:val="en-US" w:eastAsia="zh-CN"/>
              </w:rPr>
              <w:t>评审标准</w:t>
            </w:r>
          </w:p>
        </w:tc>
      </w:tr>
      <w:tr w14:paraId="68D14D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720" w:type="dxa"/>
            <w:tcBorders>
              <w:top w:val="single" w:color="000000" w:sz="4" w:space="0"/>
              <w:left w:val="single" w:color="000000" w:sz="4" w:space="0"/>
              <w:bottom w:val="single" w:color="000000" w:sz="4" w:space="0"/>
              <w:right w:val="single" w:color="000000" w:sz="4" w:space="0"/>
            </w:tcBorders>
            <w:noWrap/>
            <w:vAlign w:val="center"/>
          </w:tcPr>
          <w:p w14:paraId="76F0C825">
            <w:pPr>
              <w:keepNext w:val="0"/>
              <w:keepLines w:val="0"/>
              <w:widowControl/>
              <w:suppressLineNumbers w:val="0"/>
              <w:jc w:val="center"/>
              <w:textAlignment w:val="center"/>
              <w:rPr>
                <w:rFonts w:hint="eastAsia" w:ascii="仿宋" w:hAnsi="仿宋" w:eastAsia="仿宋" w:cs="仿宋"/>
                <w:i w:val="0"/>
                <w:iCs w:val="0"/>
                <w:color w:val="000000"/>
                <w:kern w:val="2"/>
                <w:sz w:val="28"/>
                <w:szCs w:val="28"/>
                <w:u w:val="none"/>
                <w:lang w:val="en-US" w:eastAsia="zh-CN" w:bidi="ar-SA"/>
              </w:rPr>
            </w:pPr>
            <w:r>
              <w:rPr>
                <w:rFonts w:hint="eastAsia" w:ascii="仿宋" w:hAnsi="仿宋" w:eastAsia="仿宋" w:cs="仿宋"/>
                <w:i w:val="0"/>
                <w:iCs w:val="0"/>
                <w:color w:val="000000"/>
                <w:kern w:val="0"/>
                <w:sz w:val="28"/>
                <w:szCs w:val="28"/>
                <w:u w:val="none"/>
                <w:lang w:val="en-US" w:eastAsia="zh-CN" w:bidi="ar"/>
              </w:rPr>
              <w:t>1</w:t>
            </w:r>
          </w:p>
        </w:tc>
        <w:tc>
          <w:tcPr>
            <w:tcW w:w="1637" w:type="dxa"/>
            <w:tcBorders>
              <w:top w:val="single" w:color="000000" w:sz="4" w:space="0"/>
              <w:left w:val="single" w:color="000000" w:sz="4" w:space="0"/>
              <w:bottom w:val="single" w:color="000000" w:sz="4" w:space="0"/>
              <w:right w:val="single" w:color="000000" w:sz="4" w:space="0"/>
            </w:tcBorders>
            <w:noWrap/>
            <w:vAlign w:val="center"/>
          </w:tcPr>
          <w:p w14:paraId="04CC812E">
            <w:pPr>
              <w:keepNext w:val="0"/>
              <w:keepLines w:val="0"/>
              <w:widowControl/>
              <w:suppressLineNumbers w:val="0"/>
              <w:jc w:val="center"/>
              <w:textAlignment w:val="center"/>
              <w:rPr>
                <w:rFonts w:hint="eastAsia" w:ascii="仿宋" w:hAnsi="仿宋" w:eastAsia="仿宋" w:cs="仿宋"/>
                <w:i w:val="0"/>
                <w:iCs w:val="0"/>
                <w:color w:val="000000"/>
                <w:kern w:val="2"/>
                <w:sz w:val="28"/>
                <w:szCs w:val="28"/>
                <w:u w:val="none"/>
                <w:lang w:val="en-US" w:eastAsia="zh-CN" w:bidi="ar-SA"/>
              </w:rPr>
            </w:pPr>
            <w:r>
              <w:rPr>
                <w:rFonts w:hint="eastAsia" w:ascii="仿宋" w:hAnsi="仿宋" w:eastAsia="仿宋" w:cs="仿宋"/>
                <w:i w:val="0"/>
                <w:iCs w:val="0"/>
                <w:color w:val="000000"/>
                <w:kern w:val="0"/>
                <w:sz w:val="28"/>
                <w:szCs w:val="28"/>
                <w:u w:val="none"/>
                <w:lang w:val="en-US" w:eastAsia="zh-CN" w:bidi="ar"/>
              </w:rPr>
              <w:t>食品安全与质量</w:t>
            </w:r>
          </w:p>
        </w:tc>
        <w:tc>
          <w:tcPr>
            <w:tcW w:w="2910" w:type="dxa"/>
            <w:tcBorders>
              <w:top w:val="single" w:color="000000" w:sz="4" w:space="0"/>
              <w:left w:val="single" w:color="000000" w:sz="4" w:space="0"/>
              <w:bottom w:val="single" w:color="000000" w:sz="4" w:space="0"/>
              <w:right w:val="single" w:color="000000" w:sz="4" w:space="0"/>
            </w:tcBorders>
            <w:noWrap w:val="0"/>
            <w:vAlign w:val="center"/>
          </w:tcPr>
          <w:p w14:paraId="4E482886">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 w:hAnsi="仿宋" w:eastAsia="仿宋" w:cs="仿宋"/>
                <w:i w:val="0"/>
                <w:iCs w:val="0"/>
                <w:color w:val="000000"/>
                <w:kern w:val="2"/>
                <w:sz w:val="28"/>
                <w:szCs w:val="28"/>
                <w:u w:val="none"/>
                <w:lang w:val="en-US" w:eastAsia="zh-CN" w:bidi="ar-SA"/>
              </w:rPr>
            </w:pPr>
            <w:r>
              <w:rPr>
                <w:rFonts w:hint="eastAsia" w:ascii="仿宋" w:hAnsi="仿宋" w:eastAsia="仿宋" w:cs="仿宋"/>
                <w:i w:val="0"/>
                <w:iCs w:val="0"/>
                <w:color w:val="000000"/>
                <w:kern w:val="0"/>
                <w:sz w:val="28"/>
                <w:szCs w:val="28"/>
                <w:u w:val="none"/>
                <w:lang w:val="en-US" w:eastAsia="zh-CN" w:bidi="ar"/>
              </w:rPr>
              <w:t>所供应的食品必须符合国家食品安全标准和相关法律法规，提供食品的质量检测报告和相关证明材料。</w:t>
            </w:r>
          </w:p>
        </w:tc>
        <w:tc>
          <w:tcPr>
            <w:tcW w:w="1023" w:type="dxa"/>
            <w:tcBorders>
              <w:top w:val="single" w:color="000000" w:sz="4" w:space="0"/>
              <w:left w:val="single" w:color="000000" w:sz="4" w:space="0"/>
              <w:bottom w:val="single" w:color="000000" w:sz="4" w:space="0"/>
              <w:right w:val="single" w:color="000000" w:sz="4" w:space="0"/>
            </w:tcBorders>
            <w:noWrap/>
            <w:vAlign w:val="center"/>
          </w:tcPr>
          <w:p w14:paraId="6A4A197E">
            <w:pPr>
              <w:keepNext w:val="0"/>
              <w:keepLines w:val="0"/>
              <w:widowControl/>
              <w:suppressLineNumbers w:val="0"/>
              <w:jc w:val="center"/>
              <w:textAlignment w:val="center"/>
              <w:rPr>
                <w:rFonts w:hint="eastAsia" w:ascii="仿宋" w:hAnsi="仿宋" w:eastAsia="仿宋" w:cs="仿宋"/>
                <w:i w:val="0"/>
                <w:iCs w:val="0"/>
                <w:color w:val="000000"/>
                <w:kern w:val="2"/>
                <w:sz w:val="28"/>
                <w:szCs w:val="28"/>
                <w:u w:val="none"/>
                <w:lang w:val="en-US" w:eastAsia="zh-CN" w:bidi="ar-SA"/>
              </w:rPr>
            </w:pPr>
            <w:r>
              <w:rPr>
                <w:rFonts w:hint="eastAsia" w:ascii="仿宋" w:hAnsi="仿宋" w:eastAsia="仿宋" w:cs="仿宋"/>
                <w:i w:val="0"/>
                <w:iCs w:val="0"/>
                <w:color w:val="000000"/>
                <w:kern w:val="0"/>
                <w:sz w:val="28"/>
                <w:szCs w:val="28"/>
                <w:u w:val="none"/>
                <w:lang w:val="en-US" w:eastAsia="zh-CN" w:bidi="ar"/>
              </w:rPr>
              <w:t>20</w:t>
            </w:r>
          </w:p>
        </w:tc>
        <w:tc>
          <w:tcPr>
            <w:tcW w:w="3026" w:type="dxa"/>
            <w:tcBorders>
              <w:top w:val="single" w:color="000000" w:sz="4" w:space="0"/>
              <w:left w:val="single" w:color="000000" w:sz="4" w:space="0"/>
              <w:bottom w:val="single" w:color="000000" w:sz="4" w:space="0"/>
              <w:right w:val="single" w:color="000000" w:sz="4" w:space="0"/>
            </w:tcBorders>
            <w:noWrap w:val="0"/>
            <w:vAlign w:val="center"/>
          </w:tcPr>
          <w:p w14:paraId="4F5113EB">
            <w:pPr>
              <w:keepNext w:val="0"/>
              <w:keepLines w:val="0"/>
              <w:widowControl/>
              <w:suppressLineNumbers w:val="0"/>
              <w:jc w:val="left"/>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提供食品安全合格证书的15分，提供相关检测报告得5分。</w:t>
            </w:r>
          </w:p>
        </w:tc>
      </w:tr>
      <w:tr w14:paraId="453B54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07" w:hRule="atLeast"/>
        </w:trPr>
        <w:tc>
          <w:tcPr>
            <w:tcW w:w="720" w:type="dxa"/>
            <w:tcBorders>
              <w:top w:val="single" w:color="000000" w:sz="4" w:space="0"/>
              <w:left w:val="single" w:color="000000" w:sz="4" w:space="0"/>
              <w:bottom w:val="single" w:color="000000" w:sz="4" w:space="0"/>
              <w:right w:val="single" w:color="000000" w:sz="4" w:space="0"/>
            </w:tcBorders>
            <w:noWrap/>
            <w:vAlign w:val="center"/>
          </w:tcPr>
          <w:p w14:paraId="1C5B45CD">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2</w:t>
            </w:r>
          </w:p>
        </w:tc>
        <w:tc>
          <w:tcPr>
            <w:tcW w:w="1637" w:type="dxa"/>
            <w:tcBorders>
              <w:top w:val="single" w:color="000000" w:sz="4" w:space="0"/>
              <w:left w:val="single" w:color="000000" w:sz="4" w:space="0"/>
              <w:bottom w:val="single" w:color="000000" w:sz="4" w:space="0"/>
              <w:right w:val="single" w:color="000000" w:sz="4" w:space="0"/>
            </w:tcBorders>
            <w:noWrap/>
            <w:vAlign w:val="center"/>
          </w:tcPr>
          <w:p w14:paraId="457FC449">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服务方案</w:t>
            </w:r>
          </w:p>
        </w:tc>
        <w:tc>
          <w:tcPr>
            <w:tcW w:w="2910" w:type="dxa"/>
            <w:tcBorders>
              <w:top w:val="single" w:color="000000" w:sz="4" w:space="0"/>
              <w:left w:val="single" w:color="000000" w:sz="4" w:space="0"/>
              <w:bottom w:val="single" w:color="000000" w:sz="4" w:space="0"/>
              <w:right w:val="single" w:color="000000" w:sz="4" w:space="0"/>
            </w:tcBorders>
            <w:noWrap w:val="0"/>
            <w:vAlign w:val="center"/>
          </w:tcPr>
          <w:p w14:paraId="0A55DF26">
            <w:pPr>
              <w:keepNext w:val="0"/>
              <w:keepLines w:val="0"/>
              <w:widowControl/>
              <w:suppressLineNumbers w:val="0"/>
              <w:jc w:val="left"/>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提供优质的售后服务，配送及时、售后服务响应速度快，退换货等政策完善</w:t>
            </w:r>
          </w:p>
        </w:tc>
        <w:tc>
          <w:tcPr>
            <w:tcW w:w="1023" w:type="dxa"/>
            <w:tcBorders>
              <w:top w:val="single" w:color="000000" w:sz="4" w:space="0"/>
              <w:left w:val="single" w:color="000000" w:sz="4" w:space="0"/>
              <w:bottom w:val="single" w:color="000000" w:sz="4" w:space="0"/>
              <w:right w:val="single" w:color="000000" w:sz="4" w:space="0"/>
            </w:tcBorders>
            <w:noWrap/>
            <w:vAlign w:val="center"/>
          </w:tcPr>
          <w:p w14:paraId="2B581EDF">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30</w:t>
            </w:r>
          </w:p>
        </w:tc>
        <w:tc>
          <w:tcPr>
            <w:tcW w:w="3026" w:type="dxa"/>
            <w:tcBorders>
              <w:top w:val="single" w:color="000000" w:sz="4" w:space="0"/>
              <w:left w:val="single" w:color="000000" w:sz="4" w:space="0"/>
              <w:bottom w:val="single" w:color="000000" w:sz="4" w:space="0"/>
              <w:right w:val="single" w:color="000000" w:sz="4" w:space="0"/>
            </w:tcBorders>
            <w:noWrap w:val="0"/>
            <w:vAlign w:val="center"/>
          </w:tcPr>
          <w:p w14:paraId="6F18D8ED">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一档（10分）：项目生产或销售能力差，管理制度、配送服务方案基本满足要求、描述简单，基本保证配送服务的，食材质量安全保障较差，对问题食材发生紧急事件处理预案内容较差、基本可行的；</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二档（20分）：项目生产或销售能力一般，项目配送供货时间安排合理，管理制度、配送服务方案基本满足要求、描述较简单，具体实施步骤和要求描述较简单，能保证配送服务，食材质量安全保障能力一般，对问题食材发生紧急事件处理预案内容简单；</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三档（30分）：项目生产或销售能力强，项目配送体系、供货时间安排较合理，有较完善的管理制度、配送服务方案，描述较详细，具体实施步骤和要求描述较详细，在保证配送服务业务外有机动人员用于对紧急事件处理，对配送及应急处理响应较快，食材质量安全保障能力强，对问题食材发生紧急事件处理预案内容的较具体，有一定针对性的；</w:t>
            </w:r>
          </w:p>
        </w:tc>
      </w:tr>
      <w:tr w14:paraId="2DE7D8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50" w:hRule="atLeast"/>
        </w:trPr>
        <w:tc>
          <w:tcPr>
            <w:tcW w:w="720" w:type="dxa"/>
            <w:tcBorders>
              <w:top w:val="single" w:color="000000" w:sz="4" w:space="0"/>
              <w:left w:val="single" w:color="000000" w:sz="4" w:space="0"/>
              <w:bottom w:val="single" w:color="000000" w:sz="4" w:space="0"/>
              <w:right w:val="single" w:color="000000" w:sz="4" w:space="0"/>
            </w:tcBorders>
            <w:noWrap/>
            <w:vAlign w:val="center"/>
          </w:tcPr>
          <w:p w14:paraId="7A460874">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3</w:t>
            </w:r>
          </w:p>
        </w:tc>
        <w:tc>
          <w:tcPr>
            <w:tcW w:w="1637" w:type="dxa"/>
            <w:tcBorders>
              <w:top w:val="single" w:color="000000" w:sz="4" w:space="0"/>
              <w:left w:val="single" w:color="000000" w:sz="4" w:space="0"/>
              <w:bottom w:val="single" w:color="000000" w:sz="4" w:space="0"/>
              <w:right w:val="single" w:color="000000" w:sz="4" w:space="0"/>
            </w:tcBorders>
            <w:noWrap/>
            <w:vAlign w:val="center"/>
          </w:tcPr>
          <w:p w14:paraId="472C6839">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服务承诺</w:t>
            </w:r>
          </w:p>
        </w:tc>
        <w:tc>
          <w:tcPr>
            <w:tcW w:w="2910" w:type="dxa"/>
            <w:tcBorders>
              <w:top w:val="single" w:color="000000" w:sz="4" w:space="0"/>
              <w:left w:val="single" w:color="000000" w:sz="4" w:space="0"/>
              <w:bottom w:val="single" w:color="000000" w:sz="4" w:space="0"/>
              <w:right w:val="single" w:color="000000" w:sz="4" w:space="0"/>
            </w:tcBorders>
            <w:noWrap w:val="0"/>
            <w:vAlign w:val="center"/>
          </w:tcPr>
          <w:p w14:paraId="1E88D0A7">
            <w:pPr>
              <w:keepNext w:val="0"/>
              <w:keepLines w:val="0"/>
              <w:widowControl/>
              <w:suppressLineNumbers w:val="0"/>
              <w:jc w:val="left"/>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承诺如何确保按期、按质、按量供货；出现问题时如何采取相应的措施；如何保障后期服务</w:t>
            </w:r>
          </w:p>
        </w:tc>
        <w:tc>
          <w:tcPr>
            <w:tcW w:w="1023" w:type="dxa"/>
            <w:tcBorders>
              <w:top w:val="single" w:color="000000" w:sz="4" w:space="0"/>
              <w:left w:val="single" w:color="000000" w:sz="4" w:space="0"/>
              <w:bottom w:val="single" w:color="000000" w:sz="4" w:space="0"/>
              <w:right w:val="single" w:color="000000" w:sz="4" w:space="0"/>
            </w:tcBorders>
            <w:noWrap/>
            <w:vAlign w:val="center"/>
          </w:tcPr>
          <w:p w14:paraId="1A9F5DF5">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20</w:t>
            </w:r>
          </w:p>
        </w:tc>
        <w:tc>
          <w:tcPr>
            <w:tcW w:w="3026" w:type="dxa"/>
            <w:tcBorders>
              <w:top w:val="single" w:color="000000" w:sz="4" w:space="0"/>
              <w:left w:val="single" w:color="000000" w:sz="4" w:space="0"/>
              <w:bottom w:val="single" w:color="000000" w:sz="4" w:space="0"/>
              <w:right w:val="single" w:color="000000" w:sz="4" w:space="0"/>
            </w:tcBorders>
            <w:noWrap w:val="0"/>
            <w:vAlign w:val="center"/>
          </w:tcPr>
          <w:p w14:paraId="26679792">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一档（5分）服务承诺、措施、后期服务承诺简单。</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二档（15分）服务承诺、措施满足项目需求，后期服务承诺响应满足项目需求。</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三档（20分）有健全、详细、高效的服务承诺、后期售后服务方式多样有效，针对性强。</w:t>
            </w:r>
          </w:p>
        </w:tc>
      </w:tr>
      <w:tr w14:paraId="6DFB9B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05" w:hRule="atLeast"/>
        </w:trPr>
        <w:tc>
          <w:tcPr>
            <w:tcW w:w="720" w:type="dxa"/>
            <w:tcBorders>
              <w:top w:val="single" w:color="000000" w:sz="4" w:space="0"/>
              <w:left w:val="single" w:color="000000" w:sz="4" w:space="0"/>
              <w:bottom w:val="single" w:color="000000" w:sz="4" w:space="0"/>
              <w:right w:val="single" w:color="000000" w:sz="4" w:space="0"/>
            </w:tcBorders>
            <w:noWrap/>
            <w:vAlign w:val="center"/>
          </w:tcPr>
          <w:p w14:paraId="0406BB7E">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4</w:t>
            </w:r>
          </w:p>
        </w:tc>
        <w:tc>
          <w:tcPr>
            <w:tcW w:w="1637" w:type="dxa"/>
            <w:tcBorders>
              <w:top w:val="single" w:color="000000" w:sz="4" w:space="0"/>
              <w:left w:val="single" w:color="000000" w:sz="4" w:space="0"/>
              <w:bottom w:val="single" w:color="000000" w:sz="4" w:space="0"/>
              <w:right w:val="single" w:color="000000" w:sz="4" w:space="0"/>
            </w:tcBorders>
            <w:noWrap/>
            <w:vAlign w:val="center"/>
          </w:tcPr>
          <w:p w14:paraId="159445A9">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履约能力</w:t>
            </w:r>
          </w:p>
        </w:tc>
        <w:tc>
          <w:tcPr>
            <w:tcW w:w="2910" w:type="dxa"/>
            <w:tcBorders>
              <w:top w:val="single" w:color="000000" w:sz="4" w:space="0"/>
              <w:left w:val="single" w:color="000000" w:sz="4" w:space="0"/>
              <w:bottom w:val="single" w:color="000000" w:sz="4" w:space="0"/>
              <w:right w:val="single" w:color="000000" w:sz="4" w:space="0"/>
            </w:tcBorders>
            <w:noWrap w:val="0"/>
            <w:vAlign w:val="center"/>
          </w:tcPr>
          <w:p w14:paraId="208A5CA7">
            <w:pPr>
              <w:keepNext w:val="0"/>
              <w:keepLines w:val="0"/>
              <w:widowControl/>
              <w:suppressLineNumbers w:val="0"/>
              <w:jc w:val="left"/>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具有良好的履约记录，优质服务荣誉、口碑。</w:t>
            </w:r>
          </w:p>
        </w:tc>
        <w:tc>
          <w:tcPr>
            <w:tcW w:w="1023" w:type="dxa"/>
            <w:tcBorders>
              <w:top w:val="single" w:color="000000" w:sz="4" w:space="0"/>
              <w:left w:val="single" w:color="000000" w:sz="4" w:space="0"/>
              <w:bottom w:val="single" w:color="000000" w:sz="4" w:space="0"/>
              <w:right w:val="single" w:color="000000" w:sz="4" w:space="0"/>
            </w:tcBorders>
            <w:noWrap/>
            <w:vAlign w:val="center"/>
          </w:tcPr>
          <w:p w14:paraId="103FD72B">
            <w:pPr>
              <w:keepNext w:val="0"/>
              <w:keepLines w:val="0"/>
              <w:widowControl/>
              <w:suppressLineNumbers w:val="0"/>
              <w:jc w:val="center"/>
              <w:textAlignment w:val="center"/>
              <w:rPr>
                <w:rFonts w:hint="default" w:ascii="仿宋" w:hAnsi="仿宋" w:eastAsia="仿宋" w:cs="仿宋"/>
                <w:i w:val="0"/>
                <w:iCs w:val="0"/>
                <w:color w:val="000000"/>
                <w:sz w:val="28"/>
                <w:szCs w:val="28"/>
                <w:u w:val="none"/>
                <w:lang w:val="en-US"/>
              </w:rPr>
            </w:pPr>
            <w:r>
              <w:rPr>
                <w:rFonts w:hint="eastAsia" w:ascii="仿宋" w:hAnsi="仿宋" w:eastAsia="仿宋" w:cs="仿宋"/>
                <w:i w:val="0"/>
                <w:iCs w:val="0"/>
                <w:color w:val="000000"/>
                <w:kern w:val="0"/>
                <w:sz w:val="28"/>
                <w:szCs w:val="28"/>
                <w:u w:val="none"/>
                <w:lang w:val="en-US" w:eastAsia="zh-CN" w:bidi="ar"/>
              </w:rPr>
              <w:t>10</w:t>
            </w:r>
          </w:p>
        </w:tc>
        <w:tc>
          <w:tcPr>
            <w:tcW w:w="3026" w:type="dxa"/>
            <w:tcBorders>
              <w:top w:val="single" w:color="000000" w:sz="4" w:space="0"/>
              <w:left w:val="single" w:color="000000" w:sz="4" w:space="0"/>
              <w:bottom w:val="single" w:color="000000" w:sz="4" w:space="0"/>
              <w:right w:val="single" w:color="000000" w:sz="4" w:space="0"/>
            </w:tcBorders>
            <w:noWrap w:val="0"/>
            <w:vAlign w:val="center"/>
          </w:tcPr>
          <w:p w14:paraId="27348A3C">
            <w:pPr>
              <w:keepNext w:val="0"/>
              <w:keepLines w:val="0"/>
              <w:pageBreakBefore w:val="0"/>
              <w:widowControl/>
              <w:suppressLineNumbers w:val="0"/>
              <w:kinsoku/>
              <w:wordWrap/>
              <w:overflowPunct/>
              <w:topLinePunct w:val="0"/>
              <w:autoSpaceDE/>
              <w:autoSpaceDN/>
              <w:bidi w:val="0"/>
              <w:adjustRightInd/>
              <w:snapToGrid/>
              <w:spacing w:line="360" w:lineRule="exact"/>
              <w:jc w:val="left"/>
              <w:textAlignment w:val="center"/>
              <w:rPr>
                <w:rFonts w:hint="default" w:ascii="仿宋" w:hAnsi="仿宋" w:eastAsia="仿宋" w:cs="仿宋"/>
                <w:i w:val="0"/>
                <w:iCs w:val="0"/>
                <w:color w:val="000000"/>
                <w:sz w:val="28"/>
                <w:szCs w:val="28"/>
                <w:u w:val="none"/>
                <w:lang w:val="en-US"/>
              </w:rPr>
            </w:pPr>
            <w:r>
              <w:rPr>
                <w:rFonts w:hint="eastAsia" w:ascii="仿宋" w:hAnsi="仿宋" w:eastAsia="仿宋" w:cs="仿宋"/>
                <w:i w:val="0"/>
                <w:iCs w:val="0"/>
                <w:color w:val="000000"/>
                <w:kern w:val="0"/>
                <w:sz w:val="28"/>
                <w:szCs w:val="28"/>
                <w:u w:val="none"/>
                <w:lang w:val="en-US" w:eastAsia="zh-CN" w:bidi="ar"/>
              </w:rPr>
              <w:t>投标人2020年以来同类项目业绩（以中标、成交通知书或签订的项目合同复印件为准），提供一个得5分，超过1个以上每个可加1分，最高累计加5分。</w:t>
            </w:r>
          </w:p>
        </w:tc>
      </w:tr>
      <w:tr w14:paraId="495B06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0" w:hRule="atLeast"/>
        </w:trPr>
        <w:tc>
          <w:tcPr>
            <w:tcW w:w="720" w:type="dxa"/>
            <w:tcBorders>
              <w:top w:val="single" w:color="000000" w:sz="4" w:space="0"/>
              <w:left w:val="single" w:color="000000" w:sz="4" w:space="0"/>
              <w:bottom w:val="single" w:color="000000" w:sz="4" w:space="0"/>
              <w:right w:val="single" w:color="000000" w:sz="4" w:space="0"/>
            </w:tcBorders>
            <w:noWrap/>
            <w:vAlign w:val="center"/>
          </w:tcPr>
          <w:p w14:paraId="413EAD9E">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5</w:t>
            </w:r>
          </w:p>
        </w:tc>
        <w:tc>
          <w:tcPr>
            <w:tcW w:w="1637" w:type="dxa"/>
            <w:tcBorders>
              <w:top w:val="single" w:color="000000" w:sz="4" w:space="0"/>
              <w:left w:val="single" w:color="000000" w:sz="4" w:space="0"/>
              <w:bottom w:val="single" w:color="000000" w:sz="4" w:space="0"/>
              <w:right w:val="single" w:color="000000" w:sz="4" w:space="0"/>
            </w:tcBorders>
            <w:noWrap/>
            <w:vAlign w:val="center"/>
          </w:tcPr>
          <w:p w14:paraId="1DBCF922">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价格</w:t>
            </w:r>
          </w:p>
        </w:tc>
        <w:tc>
          <w:tcPr>
            <w:tcW w:w="2910" w:type="dxa"/>
            <w:tcBorders>
              <w:top w:val="single" w:color="000000" w:sz="4" w:space="0"/>
              <w:left w:val="single" w:color="000000" w:sz="4" w:space="0"/>
              <w:bottom w:val="single" w:color="000000" w:sz="4" w:space="0"/>
              <w:right w:val="single" w:color="000000" w:sz="4" w:space="0"/>
            </w:tcBorders>
            <w:noWrap w:val="0"/>
            <w:vAlign w:val="center"/>
          </w:tcPr>
          <w:p w14:paraId="0CBA0300">
            <w:pPr>
              <w:keepNext w:val="0"/>
              <w:keepLines w:val="0"/>
              <w:widowControl/>
              <w:suppressLineNumbers w:val="0"/>
              <w:jc w:val="left"/>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供应商必须就本项目作完整唯一报价，否则，其投标文件无效。</w:t>
            </w:r>
          </w:p>
        </w:tc>
        <w:tc>
          <w:tcPr>
            <w:tcW w:w="1023" w:type="dxa"/>
            <w:tcBorders>
              <w:top w:val="single" w:color="000000" w:sz="4" w:space="0"/>
              <w:left w:val="single" w:color="000000" w:sz="4" w:space="0"/>
              <w:bottom w:val="single" w:color="000000" w:sz="4" w:space="0"/>
              <w:right w:val="single" w:color="000000" w:sz="4" w:space="0"/>
            </w:tcBorders>
            <w:noWrap/>
            <w:vAlign w:val="center"/>
          </w:tcPr>
          <w:p w14:paraId="0AFF06CA">
            <w:pPr>
              <w:keepNext w:val="0"/>
              <w:keepLines w:val="0"/>
              <w:widowControl/>
              <w:suppressLineNumbers w:val="0"/>
              <w:jc w:val="center"/>
              <w:textAlignment w:val="center"/>
              <w:rPr>
                <w:rFonts w:hint="default" w:ascii="仿宋" w:hAnsi="仿宋" w:eastAsia="仿宋" w:cs="仿宋"/>
                <w:i w:val="0"/>
                <w:iCs w:val="0"/>
                <w:color w:val="000000"/>
                <w:sz w:val="28"/>
                <w:szCs w:val="28"/>
                <w:u w:val="none"/>
                <w:lang w:val="en-US"/>
              </w:rPr>
            </w:pPr>
            <w:r>
              <w:rPr>
                <w:rFonts w:hint="eastAsia" w:ascii="仿宋" w:hAnsi="仿宋" w:eastAsia="仿宋" w:cs="仿宋"/>
                <w:i w:val="0"/>
                <w:iCs w:val="0"/>
                <w:color w:val="000000"/>
                <w:kern w:val="0"/>
                <w:sz w:val="28"/>
                <w:szCs w:val="28"/>
                <w:u w:val="none"/>
                <w:lang w:val="en-US" w:eastAsia="zh-CN" w:bidi="ar"/>
              </w:rPr>
              <w:t>20</w:t>
            </w:r>
          </w:p>
        </w:tc>
        <w:tc>
          <w:tcPr>
            <w:tcW w:w="3026" w:type="dxa"/>
            <w:tcBorders>
              <w:top w:val="single" w:color="000000" w:sz="4" w:space="0"/>
              <w:left w:val="single" w:color="000000" w:sz="4" w:space="0"/>
              <w:bottom w:val="single" w:color="000000" w:sz="4" w:space="0"/>
              <w:right w:val="single" w:color="000000" w:sz="4" w:space="0"/>
            </w:tcBorders>
            <w:noWrap w:val="0"/>
            <w:vAlign w:val="center"/>
          </w:tcPr>
          <w:p w14:paraId="00D071CF">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以进入综合评分环节的最低的评审报价为基准价，基准价报价得分为20分。</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供应商报价得分=（基准价/供应商的评审报价）×20分。</w:t>
            </w:r>
          </w:p>
        </w:tc>
      </w:tr>
      <w:tr w14:paraId="1AA2A8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2" w:hRule="atLeast"/>
        </w:trPr>
        <w:tc>
          <w:tcPr>
            <w:tcW w:w="2357" w:type="dxa"/>
            <w:gridSpan w:val="2"/>
            <w:tcBorders>
              <w:top w:val="single" w:color="000000" w:sz="4" w:space="0"/>
              <w:left w:val="single" w:color="000000" w:sz="4" w:space="0"/>
              <w:bottom w:val="single" w:color="000000" w:sz="4" w:space="0"/>
              <w:right w:val="single" w:color="000000" w:sz="4" w:space="0"/>
            </w:tcBorders>
            <w:noWrap/>
            <w:vAlign w:val="center"/>
          </w:tcPr>
          <w:p w14:paraId="6F1800C2">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总分</w:t>
            </w:r>
          </w:p>
        </w:tc>
        <w:tc>
          <w:tcPr>
            <w:tcW w:w="2910" w:type="dxa"/>
            <w:tcBorders>
              <w:top w:val="single" w:color="000000" w:sz="4" w:space="0"/>
              <w:left w:val="single" w:color="000000" w:sz="4" w:space="0"/>
              <w:bottom w:val="single" w:color="000000" w:sz="4" w:space="0"/>
              <w:right w:val="single" w:color="000000" w:sz="4" w:space="0"/>
            </w:tcBorders>
            <w:noWrap w:val="0"/>
            <w:vAlign w:val="center"/>
          </w:tcPr>
          <w:p w14:paraId="0D6E875D">
            <w:pPr>
              <w:jc w:val="center"/>
              <w:rPr>
                <w:rFonts w:hint="eastAsia" w:ascii="仿宋" w:hAnsi="仿宋" w:eastAsia="仿宋" w:cs="仿宋"/>
                <w:i w:val="0"/>
                <w:iCs w:val="0"/>
                <w:color w:val="000000"/>
                <w:sz w:val="28"/>
                <w:szCs w:val="28"/>
                <w:u w:val="none"/>
              </w:rPr>
            </w:pPr>
          </w:p>
        </w:tc>
        <w:tc>
          <w:tcPr>
            <w:tcW w:w="1023" w:type="dxa"/>
            <w:tcBorders>
              <w:top w:val="single" w:color="000000" w:sz="4" w:space="0"/>
              <w:left w:val="single" w:color="000000" w:sz="4" w:space="0"/>
              <w:bottom w:val="single" w:color="000000" w:sz="4" w:space="0"/>
              <w:right w:val="single" w:color="000000" w:sz="4" w:space="0"/>
            </w:tcBorders>
            <w:noWrap/>
            <w:vAlign w:val="center"/>
          </w:tcPr>
          <w:p w14:paraId="6CB36681">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100</w:t>
            </w:r>
          </w:p>
        </w:tc>
        <w:tc>
          <w:tcPr>
            <w:tcW w:w="3026" w:type="dxa"/>
            <w:tcBorders>
              <w:top w:val="single" w:color="000000" w:sz="4" w:space="0"/>
              <w:left w:val="single" w:color="000000" w:sz="4" w:space="0"/>
              <w:bottom w:val="single" w:color="000000" w:sz="4" w:space="0"/>
              <w:right w:val="single" w:color="000000" w:sz="4" w:space="0"/>
            </w:tcBorders>
            <w:noWrap/>
            <w:vAlign w:val="center"/>
          </w:tcPr>
          <w:p w14:paraId="37DA2BD7">
            <w:pPr>
              <w:jc w:val="center"/>
              <w:rPr>
                <w:rFonts w:hint="eastAsia" w:ascii="仿宋" w:hAnsi="仿宋" w:eastAsia="仿宋" w:cs="仿宋"/>
                <w:i w:val="0"/>
                <w:iCs w:val="0"/>
                <w:color w:val="000000"/>
                <w:sz w:val="28"/>
                <w:szCs w:val="28"/>
                <w:u w:val="none"/>
              </w:rPr>
            </w:pPr>
          </w:p>
        </w:tc>
      </w:tr>
    </w:tbl>
    <w:p w14:paraId="7169D13D">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34"/>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4E20F95"/>
    <w:rsid w:val="64E20F9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qFormat/>
    <w:uiPriority w:val="0"/>
    <w:pPr>
      <w:widowControl/>
      <w:spacing w:before="100" w:beforeAutospacing="1" w:after="100" w:afterAutospacing="1"/>
      <w:jc w:val="left"/>
    </w:pPr>
    <w:rPr>
      <w:rFonts w:ascii="宋体" w:hAnsi="宋体" w:cs="宋体"/>
      <w:kern w:val="0"/>
      <w:sz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2024-12-27T07:39:00Z</dcterms:created>
  <dc:creator>白露未已º</dc:creator>
  <cp:lastModifiedBy>白露未已º</cp:lastModifiedBy>
  <dcterms:modified xsi:type="dcterms:W3CDTF">2024-12-27T07:39:17Z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7E9B1A12A5FF4D168568AE7BF31E0E36_11</vt:lpwstr>
  </property>
  <property fmtid="{D5CDD505-2E9C-101B-9397-08002B2CF9AE}" pid="4" name="KSOTemplateDocerSaveRecord">
    <vt:lpwstr>eyJoZGlkIjoiOGM2OTlmYTQ5NGIyZTFlZDU1YTE1MWZmYjAzZTY1NzciLCJ1c2VySWQiOiI4NzYxMzA0MjgifQ==</vt:lpwstr>
  </property>
</Properties>
</file>