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2878" w:type="dxa"/>
        <w:tblInd w:w="-106" w:type="dxa"/>
        <w:tblLayout w:type="autofit"/>
        <w:tblCellMar>
          <w:top w:w="0" w:type="dxa"/>
          <w:left w:w="108" w:type="dxa"/>
          <w:bottom w:w="0" w:type="dxa"/>
          <w:right w:w="108" w:type="dxa"/>
        </w:tblCellMar>
      </w:tblPr>
      <w:tblGrid>
        <w:gridCol w:w="1417"/>
        <w:gridCol w:w="1351"/>
        <w:gridCol w:w="283"/>
        <w:gridCol w:w="3400"/>
        <w:gridCol w:w="3971"/>
        <w:gridCol w:w="142"/>
        <w:gridCol w:w="76"/>
        <w:gridCol w:w="18"/>
        <w:gridCol w:w="140"/>
        <w:gridCol w:w="1402"/>
        <w:gridCol w:w="211"/>
        <w:gridCol w:w="233"/>
        <w:gridCol w:w="234"/>
      </w:tblGrid>
      <w:tr w14:paraId="5A0C5205">
        <w:tblPrEx>
          <w:tblCellMar>
            <w:top w:w="0" w:type="dxa"/>
            <w:left w:w="108" w:type="dxa"/>
            <w:bottom w:w="0" w:type="dxa"/>
            <w:right w:w="108" w:type="dxa"/>
          </w:tblCellMar>
        </w:tblPrEx>
        <w:trPr>
          <w:gridAfter w:val="7"/>
          <w:wAfter w:w="2314" w:type="dxa"/>
          <w:trHeight w:val="570" w:hRule="atLeast"/>
        </w:trPr>
        <w:tc>
          <w:tcPr>
            <w:tcW w:w="10564" w:type="dxa"/>
            <w:gridSpan w:val="6"/>
            <w:tcBorders>
              <w:top w:val="nil"/>
              <w:left w:val="nil"/>
              <w:bottom w:val="nil"/>
              <w:right w:val="nil"/>
            </w:tcBorders>
          </w:tcPr>
          <w:p w14:paraId="65D157D9">
            <w:pPr>
              <w:pStyle w:val="2"/>
              <w:keepNext w:val="0"/>
              <w:keepLines w:val="0"/>
              <w:widowControl/>
              <w:shd w:val="clear" w:color="auto" w:fill="FFFFFF"/>
              <w:spacing w:line="23" w:lineRule="atLeast"/>
              <w:rPr>
                <w:rFonts w:ascii="微软雅黑" w:hAnsi="微软雅黑" w:eastAsia="微软雅黑" w:cs="微软雅黑"/>
              </w:rPr>
            </w:pPr>
            <w:bookmarkStart w:id="0" w:name="OLE_LINK2"/>
            <w:r>
              <w:rPr>
                <w:rFonts w:hint="eastAsia" w:ascii="微软雅黑" w:hAnsi="微软雅黑" w:eastAsia="微软雅黑" w:cs="微软雅黑"/>
                <w:shd w:val="clear" w:color="auto" w:fill="FFFFFF"/>
              </w:rPr>
              <w:t>桂中本级2025年政府还贷二级公路取消收费后补助资金项目（普通国省道公路路面养护工程）设计服务(NO.A、NO.B)询价采购</w:t>
            </w:r>
          </w:p>
          <w:bookmarkEnd w:id="0"/>
          <w:p w14:paraId="38C07FF6">
            <w:pPr>
              <w:widowControl/>
              <w:jc w:val="center"/>
              <w:rPr>
                <w:rFonts w:ascii="仿宋" w:hAnsi="仿宋" w:eastAsia="仿宋" w:cs="Times New Roman"/>
                <w:b/>
                <w:kern w:val="0"/>
                <w:sz w:val="36"/>
                <w:szCs w:val="36"/>
              </w:rPr>
            </w:pPr>
            <w:r>
              <w:rPr>
                <w:rFonts w:hint="eastAsia" w:ascii="仿宋" w:hAnsi="仿宋" w:eastAsia="仿宋"/>
                <w:b/>
                <w:kern w:val="0"/>
                <w:sz w:val="36"/>
                <w:szCs w:val="36"/>
              </w:rPr>
              <w:t>（1号补遗通知书）</w:t>
            </w:r>
          </w:p>
        </w:tc>
      </w:tr>
      <w:tr w14:paraId="7F8B4F00">
        <w:tblPrEx>
          <w:tblCellMar>
            <w:top w:w="0" w:type="dxa"/>
            <w:left w:w="108" w:type="dxa"/>
            <w:bottom w:w="0" w:type="dxa"/>
            <w:right w:w="108" w:type="dxa"/>
          </w:tblCellMar>
        </w:tblPrEx>
        <w:trPr>
          <w:trHeight w:val="285" w:hRule="atLeast"/>
        </w:trPr>
        <w:tc>
          <w:tcPr>
            <w:tcW w:w="12411" w:type="dxa"/>
            <w:gridSpan w:val="11"/>
            <w:tcBorders>
              <w:top w:val="nil"/>
              <w:left w:val="nil"/>
              <w:bottom w:val="nil"/>
              <w:right w:val="nil"/>
            </w:tcBorders>
          </w:tcPr>
          <w:p w14:paraId="3B47BD2B">
            <w:pPr>
              <w:widowControl/>
              <w:jc w:val="left"/>
              <w:rPr>
                <w:rFonts w:ascii="仿宋" w:hAnsi="仿宋" w:eastAsia="仿宋"/>
                <w:kern w:val="0"/>
                <w:sz w:val="24"/>
                <w:szCs w:val="24"/>
              </w:rPr>
            </w:pPr>
          </w:p>
          <w:p w14:paraId="3D6A35E0">
            <w:pPr>
              <w:widowControl/>
              <w:jc w:val="left"/>
              <w:rPr>
                <w:rFonts w:ascii="仿宋" w:hAnsi="仿宋" w:eastAsia="仿宋" w:cs="Times New Roman"/>
                <w:kern w:val="0"/>
                <w:sz w:val="24"/>
                <w:szCs w:val="24"/>
              </w:rPr>
            </w:pPr>
            <w:r>
              <w:rPr>
                <w:rFonts w:hint="eastAsia" w:ascii="仿宋" w:hAnsi="仿宋" w:eastAsia="仿宋"/>
                <w:kern w:val="0"/>
                <w:sz w:val="24"/>
                <w:szCs w:val="24"/>
              </w:rPr>
              <w:t>致潜在意向供应商：</w:t>
            </w:r>
          </w:p>
        </w:tc>
        <w:tc>
          <w:tcPr>
            <w:tcW w:w="233" w:type="dxa"/>
            <w:tcBorders>
              <w:top w:val="nil"/>
              <w:left w:val="nil"/>
              <w:bottom w:val="nil"/>
              <w:right w:val="nil"/>
            </w:tcBorders>
          </w:tcPr>
          <w:p w14:paraId="5A2441C3">
            <w:pPr>
              <w:widowControl/>
              <w:jc w:val="left"/>
              <w:rPr>
                <w:rFonts w:ascii="仿宋" w:hAnsi="仿宋" w:eastAsia="仿宋" w:cs="Times New Roman"/>
                <w:kern w:val="0"/>
                <w:sz w:val="24"/>
                <w:szCs w:val="24"/>
              </w:rPr>
            </w:pPr>
          </w:p>
        </w:tc>
        <w:tc>
          <w:tcPr>
            <w:tcW w:w="234" w:type="dxa"/>
            <w:tcBorders>
              <w:top w:val="nil"/>
              <w:left w:val="nil"/>
              <w:bottom w:val="nil"/>
              <w:right w:val="nil"/>
            </w:tcBorders>
          </w:tcPr>
          <w:p w14:paraId="13883F0C">
            <w:pPr>
              <w:widowControl/>
              <w:jc w:val="left"/>
              <w:rPr>
                <w:rFonts w:ascii="仿宋" w:hAnsi="仿宋" w:eastAsia="仿宋" w:cs="Times New Roman"/>
                <w:kern w:val="0"/>
                <w:sz w:val="24"/>
                <w:szCs w:val="24"/>
              </w:rPr>
            </w:pPr>
          </w:p>
        </w:tc>
      </w:tr>
      <w:tr w14:paraId="6DE2C6F0">
        <w:tblPrEx>
          <w:tblCellMar>
            <w:top w:w="0" w:type="dxa"/>
            <w:left w:w="108" w:type="dxa"/>
            <w:bottom w:w="0" w:type="dxa"/>
            <w:right w:w="108" w:type="dxa"/>
          </w:tblCellMar>
        </w:tblPrEx>
        <w:trPr>
          <w:gridAfter w:val="7"/>
          <w:wAfter w:w="2314" w:type="dxa"/>
          <w:trHeight w:val="915" w:hRule="atLeast"/>
        </w:trPr>
        <w:tc>
          <w:tcPr>
            <w:tcW w:w="10564" w:type="dxa"/>
            <w:gridSpan w:val="6"/>
            <w:tcBorders>
              <w:top w:val="nil"/>
              <w:left w:val="nil"/>
              <w:bottom w:val="nil"/>
              <w:right w:val="nil"/>
            </w:tcBorders>
          </w:tcPr>
          <w:p w14:paraId="6F2F67BC">
            <w:pPr>
              <w:widowControl/>
              <w:ind w:firstLine="480"/>
              <w:jc w:val="left"/>
              <w:rPr>
                <w:rFonts w:ascii="宋体" w:hAnsi="宋体"/>
                <w:sz w:val="24"/>
                <w:szCs w:val="24"/>
                <w:shd w:val="clear" w:color="auto" w:fill="FFFFFF"/>
              </w:rPr>
            </w:pPr>
            <w:r>
              <w:rPr>
                <w:rFonts w:hint="eastAsia" w:ascii="仿宋" w:hAnsi="仿宋" w:eastAsia="仿宋"/>
                <w:kern w:val="0"/>
                <w:sz w:val="24"/>
                <w:szCs w:val="24"/>
              </w:rPr>
              <w:t>现对</w:t>
            </w:r>
            <w:r>
              <w:rPr>
                <w:rFonts w:hint="eastAsia" w:ascii="宋体" w:hAnsi="宋体"/>
                <w:sz w:val="24"/>
                <w:szCs w:val="24"/>
                <w:shd w:val="clear" w:color="auto" w:fill="FFFFFF"/>
              </w:rPr>
              <w:t>做如下修改，本补遗书与招标文件存在不一致的，以本补遗书为准：</w:t>
            </w:r>
          </w:p>
          <w:p w14:paraId="6911234E">
            <w:pPr>
              <w:widowControl/>
              <w:ind w:firstLine="480"/>
              <w:jc w:val="left"/>
              <w:rPr>
                <w:rFonts w:ascii="仿宋" w:hAnsi="仿宋" w:eastAsia="仿宋" w:cs="Times New Roman"/>
                <w:kern w:val="0"/>
                <w:sz w:val="24"/>
                <w:szCs w:val="24"/>
              </w:rPr>
            </w:pPr>
            <w:r>
              <w:rPr>
                <w:rFonts w:hint="eastAsia" w:ascii="仿宋" w:hAnsi="仿宋" w:eastAsia="仿宋"/>
                <w:kern w:val="0"/>
                <w:sz w:val="24"/>
                <w:szCs w:val="24"/>
              </w:rPr>
              <w:t>根据广西壮族自治区桂中公路发展中心内控制度规定，现对</w:t>
            </w:r>
            <w:bookmarkStart w:id="1" w:name="OLE_LINK1"/>
            <w:r>
              <w:rPr>
                <w:rFonts w:hint="eastAsia" w:ascii="仿宋" w:hAnsi="仿宋" w:eastAsia="仿宋"/>
                <w:kern w:val="0"/>
                <w:sz w:val="24"/>
                <w:szCs w:val="24"/>
              </w:rPr>
              <w:t>2025年政府还贷二级公路取消收费后补助资金项目（普通国省道公路路面养护工程）设计服务</w:t>
            </w:r>
            <w:bookmarkEnd w:id="1"/>
            <w:r>
              <w:rPr>
                <w:rFonts w:hint="eastAsia" w:ascii="仿宋" w:hAnsi="仿宋" w:eastAsia="仿宋"/>
                <w:kern w:val="0"/>
                <w:sz w:val="24"/>
                <w:szCs w:val="24"/>
              </w:rPr>
              <w:t>(NO.A、NO.B标段)进行询价采购，邀请贵单位参加采购活动。</w:t>
            </w:r>
          </w:p>
        </w:tc>
      </w:tr>
      <w:tr w14:paraId="15070431">
        <w:tblPrEx>
          <w:tblCellMar>
            <w:top w:w="0" w:type="dxa"/>
            <w:left w:w="108" w:type="dxa"/>
            <w:bottom w:w="0" w:type="dxa"/>
            <w:right w:w="108" w:type="dxa"/>
          </w:tblCellMar>
        </w:tblPrEx>
        <w:trPr>
          <w:gridAfter w:val="7"/>
          <w:wAfter w:w="2314" w:type="dxa"/>
          <w:trHeight w:val="600" w:hRule="atLeast"/>
        </w:trPr>
        <w:tc>
          <w:tcPr>
            <w:tcW w:w="10564" w:type="dxa"/>
            <w:gridSpan w:val="6"/>
            <w:tcBorders>
              <w:top w:val="nil"/>
              <w:left w:val="nil"/>
              <w:bottom w:val="nil"/>
              <w:right w:val="nil"/>
            </w:tcBorders>
          </w:tcPr>
          <w:p w14:paraId="684CA054">
            <w:pPr>
              <w:widowControl/>
              <w:jc w:val="left"/>
              <w:rPr>
                <w:rFonts w:ascii="仿宋" w:hAnsi="仿宋" w:eastAsia="仿宋" w:cs="Times New Roman"/>
                <w:b/>
                <w:kern w:val="0"/>
                <w:sz w:val="24"/>
                <w:szCs w:val="24"/>
              </w:rPr>
            </w:pPr>
            <w:r>
              <w:rPr>
                <w:rFonts w:hint="eastAsia" w:ascii="仿宋" w:hAnsi="仿宋" w:eastAsia="仿宋"/>
                <w:b/>
                <w:kern w:val="0"/>
                <w:sz w:val="24"/>
                <w:szCs w:val="24"/>
              </w:rPr>
              <w:t>一、项目名称：2025年政府还贷二级公路取消收费后补助资金项目（普通国省道公路路面养护工程）设计服务</w:t>
            </w:r>
          </w:p>
        </w:tc>
      </w:tr>
      <w:tr w14:paraId="4FCFFFD1">
        <w:tblPrEx>
          <w:tblCellMar>
            <w:top w:w="0" w:type="dxa"/>
            <w:left w:w="108" w:type="dxa"/>
            <w:bottom w:w="0" w:type="dxa"/>
            <w:right w:w="108" w:type="dxa"/>
          </w:tblCellMar>
        </w:tblPrEx>
        <w:trPr>
          <w:gridAfter w:val="7"/>
          <w:wAfter w:w="2314" w:type="dxa"/>
          <w:trHeight w:val="870" w:hRule="atLeast"/>
        </w:trPr>
        <w:tc>
          <w:tcPr>
            <w:tcW w:w="10564" w:type="dxa"/>
            <w:gridSpan w:val="6"/>
            <w:tcBorders>
              <w:top w:val="nil"/>
              <w:left w:val="nil"/>
              <w:bottom w:val="nil"/>
              <w:right w:val="nil"/>
            </w:tcBorders>
          </w:tcPr>
          <w:p w14:paraId="2B25F2F7">
            <w:pPr>
              <w:widowControl/>
              <w:jc w:val="left"/>
              <w:rPr>
                <w:rFonts w:ascii="仿宋" w:hAnsi="仿宋" w:eastAsia="仿宋" w:cs="Times New Roman"/>
                <w:kern w:val="0"/>
                <w:sz w:val="24"/>
                <w:szCs w:val="24"/>
              </w:rPr>
            </w:pPr>
            <w:r>
              <w:rPr>
                <w:rFonts w:hint="eastAsia" w:ascii="仿宋" w:hAnsi="仿宋" w:eastAsia="仿宋"/>
                <w:b/>
                <w:kern w:val="0"/>
                <w:sz w:val="24"/>
                <w:szCs w:val="24"/>
              </w:rPr>
              <w:t>二、项目概况</w:t>
            </w:r>
            <w:r>
              <w:rPr>
                <w:rFonts w:hint="eastAsia" w:ascii="仿宋" w:hAnsi="仿宋" w:eastAsia="仿宋" w:cs="Times New Roman"/>
                <w:kern w:val="0"/>
                <w:sz w:val="24"/>
                <w:szCs w:val="24"/>
              </w:rPr>
              <w:br w:type="textWrapping"/>
            </w:r>
            <w:r>
              <w:rPr>
                <w:rFonts w:hint="eastAsia" w:ascii="仿宋" w:hAnsi="仿宋" w:eastAsia="仿宋"/>
                <w:kern w:val="0"/>
                <w:sz w:val="24"/>
                <w:szCs w:val="24"/>
              </w:rPr>
              <w:t xml:space="preserve"> （一）采购人、采购内容、项目概况</w:t>
            </w:r>
            <w:r>
              <w:rPr>
                <w:rFonts w:hint="eastAsia" w:ascii="仿宋" w:hAnsi="仿宋" w:eastAsia="仿宋" w:cs="Times New Roman"/>
                <w:kern w:val="0"/>
                <w:sz w:val="24"/>
                <w:szCs w:val="24"/>
              </w:rPr>
              <w:br w:type="textWrapping"/>
            </w:r>
            <w:r>
              <w:rPr>
                <w:rFonts w:hint="eastAsia" w:ascii="仿宋" w:hAnsi="仿宋" w:eastAsia="仿宋"/>
                <w:kern w:val="0"/>
                <w:sz w:val="24"/>
                <w:szCs w:val="24"/>
              </w:rPr>
              <w:t>采购人：广西壮族自治区桂中公路发展中心</w:t>
            </w:r>
          </w:p>
        </w:tc>
      </w:tr>
      <w:tr w14:paraId="1674B915">
        <w:tblPrEx>
          <w:tblCellMar>
            <w:top w:w="0" w:type="dxa"/>
            <w:left w:w="108" w:type="dxa"/>
            <w:bottom w:w="0" w:type="dxa"/>
            <w:right w:w="108" w:type="dxa"/>
          </w:tblCellMar>
        </w:tblPrEx>
        <w:trPr>
          <w:gridAfter w:val="7"/>
          <w:wAfter w:w="2314" w:type="dxa"/>
          <w:trHeight w:val="810" w:hRule="atLeast"/>
        </w:trPr>
        <w:tc>
          <w:tcPr>
            <w:tcW w:w="10564" w:type="dxa"/>
            <w:gridSpan w:val="6"/>
            <w:tcBorders>
              <w:top w:val="nil"/>
              <w:left w:val="nil"/>
              <w:bottom w:val="nil"/>
              <w:right w:val="nil"/>
            </w:tcBorders>
          </w:tcPr>
          <w:p w14:paraId="7099F677">
            <w:pPr>
              <w:widowControl/>
              <w:jc w:val="left"/>
              <w:rPr>
                <w:rFonts w:ascii="仿宋" w:hAnsi="仿宋" w:eastAsia="仿宋" w:cs="Times New Roman"/>
                <w:kern w:val="0"/>
                <w:sz w:val="24"/>
                <w:szCs w:val="24"/>
              </w:rPr>
            </w:pPr>
            <w:r>
              <w:rPr>
                <w:rFonts w:hint="eastAsia" w:ascii="仿宋" w:hAnsi="仿宋" w:eastAsia="仿宋"/>
                <w:kern w:val="0"/>
                <w:sz w:val="24"/>
                <w:szCs w:val="24"/>
              </w:rPr>
              <w:t>采购内容：2025年政府还贷二级公路取消收费后补助资金项目（普通国省道公路路面养护工程）设计服务询价采购</w:t>
            </w:r>
          </w:p>
          <w:tbl>
            <w:tblPr>
              <w:tblStyle w:val="5"/>
              <w:tblW w:w="10016" w:type="dxa"/>
              <w:tblInd w:w="8" w:type="dxa"/>
              <w:tblLayout w:type="autofit"/>
              <w:tblCellMar>
                <w:top w:w="0" w:type="dxa"/>
                <w:left w:w="108" w:type="dxa"/>
                <w:bottom w:w="0" w:type="dxa"/>
                <w:right w:w="108" w:type="dxa"/>
              </w:tblCellMar>
            </w:tblPr>
            <w:tblGrid>
              <w:gridCol w:w="660"/>
              <w:gridCol w:w="5245"/>
              <w:gridCol w:w="2126"/>
              <w:gridCol w:w="1985"/>
            </w:tblGrid>
            <w:tr w14:paraId="70281ED6">
              <w:tblPrEx>
                <w:tblCellMar>
                  <w:top w:w="0" w:type="dxa"/>
                  <w:left w:w="108" w:type="dxa"/>
                  <w:bottom w:w="0" w:type="dxa"/>
                  <w:right w:w="108" w:type="dxa"/>
                </w:tblCellMar>
              </w:tblPrEx>
              <w:trPr>
                <w:trHeight w:val="780" w:hRule="atLeast"/>
              </w:trPr>
              <w:tc>
                <w:tcPr>
                  <w:tcW w:w="660" w:type="dxa"/>
                  <w:tcBorders>
                    <w:top w:val="single" w:color="auto" w:sz="4" w:space="0"/>
                    <w:left w:val="single" w:color="auto" w:sz="4" w:space="0"/>
                    <w:bottom w:val="single" w:color="auto" w:sz="4" w:space="0"/>
                    <w:right w:val="single" w:color="auto" w:sz="4" w:space="0"/>
                  </w:tcBorders>
                  <w:vAlign w:val="center"/>
                </w:tcPr>
                <w:p w14:paraId="1FECBD7A">
                  <w:pPr>
                    <w:widowControl/>
                    <w:jc w:val="center"/>
                    <w:rPr>
                      <w:rFonts w:ascii="仿宋" w:hAnsi="仿宋" w:eastAsia="仿宋" w:cs="Times New Roman"/>
                      <w:b/>
                      <w:bCs/>
                      <w:kern w:val="0"/>
                      <w:sz w:val="24"/>
                      <w:szCs w:val="24"/>
                    </w:rPr>
                  </w:pPr>
                  <w:r>
                    <w:rPr>
                      <w:rFonts w:hint="eastAsia" w:ascii="仿宋" w:hAnsi="仿宋" w:eastAsia="仿宋"/>
                      <w:b/>
                      <w:bCs/>
                      <w:kern w:val="0"/>
                      <w:sz w:val="24"/>
                      <w:szCs w:val="24"/>
                    </w:rPr>
                    <w:t>序号</w:t>
                  </w:r>
                </w:p>
              </w:tc>
              <w:tc>
                <w:tcPr>
                  <w:tcW w:w="5245" w:type="dxa"/>
                  <w:tcBorders>
                    <w:top w:val="single" w:color="auto" w:sz="4" w:space="0"/>
                    <w:left w:val="nil"/>
                    <w:bottom w:val="single" w:color="auto" w:sz="4" w:space="0"/>
                    <w:right w:val="single" w:color="auto" w:sz="4" w:space="0"/>
                  </w:tcBorders>
                  <w:vAlign w:val="center"/>
                </w:tcPr>
                <w:p w14:paraId="2C22B558">
                  <w:pPr>
                    <w:widowControl/>
                    <w:jc w:val="center"/>
                    <w:rPr>
                      <w:rFonts w:ascii="仿宋" w:hAnsi="仿宋" w:eastAsia="仿宋" w:cs="Times New Roman"/>
                      <w:b/>
                      <w:bCs/>
                      <w:kern w:val="0"/>
                      <w:sz w:val="24"/>
                      <w:szCs w:val="24"/>
                    </w:rPr>
                  </w:pPr>
                  <w:r>
                    <w:rPr>
                      <w:rFonts w:hint="eastAsia" w:ascii="仿宋" w:hAnsi="仿宋" w:eastAsia="仿宋"/>
                      <w:b/>
                      <w:bCs/>
                      <w:kern w:val="0"/>
                      <w:sz w:val="24"/>
                      <w:szCs w:val="24"/>
                    </w:rPr>
                    <w:t>项目名称</w:t>
                  </w:r>
                </w:p>
              </w:tc>
              <w:tc>
                <w:tcPr>
                  <w:tcW w:w="2126" w:type="dxa"/>
                  <w:tcBorders>
                    <w:top w:val="single" w:color="auto" w:sz="4" w:space="0"/>
                    <w:left w:val="nil"/>
                    <w:bottom w:val="single" w:color="auto" w:sz="4" w:space="0"/>
                    <w:right w:val="single" w:color="auto" w:sz="4" w:space="0"/>
                  </w:tcBorders>
                  <w:vAlign w:val="center"/>
                </w:tcPr>
                <w:p w14:paraId="2EF5A1BF">
                  <w:pPr>
                    <w:widowControl/>
                    <w:jc w:val="center"/>
                    <w:rPr>
                      <w:rFonts w:ascii="仿宋" w:hAnsi="仿宋" w:eastAsia="仿宋" w:cs="Times New Roman"/>
                      <w:kern w:val="0"/>
                      <w:sz w:val="24"/>
                      <w:szCs w:val="24"/>
                    </w:rPr>
                  </w:pPr>
                  <w:r>
                    <w:rPr>
                      <w:rFonts w:hint="eastAsia" w:ascii="仿宋" w:hAnsi="仿宋" w:eastAsia="仿宋"/>
                      <w:kern w:val="0"/>
                      <w:sz w:val="24"/>
                      <w:szCs w:val="24"/>
                    </w:rPr>
                    <w:t>分项控制价上限</w:t>
                  </w:r>
                  <w:r>
                    <w:rPr>
                      <w:rFonts w:hint="eastAsia" w:ascii="仿宋" w:hAnsi="仿宋" w:eastAsia="仿宋" w:cs="Times New Roman"/>
                      <w:kern w:val="0"/>
                      <w:sz w:val="24"/>
                      <w:szCs w:val="24"/>
                    </w:rPr>
                    <w:br w:type="textWrapping"/>
                  </w:r>
                  <w:r>
                    <w:rPr>
                      <w:rFonts w:hint="eastAsia" w:ascii="仿宋" w:hAnsi="仿宋" w:eastAsia="仿宋"/>
                      <w:kern w:val="0"/>
                      <w:sz w:val="24"/>
                      <w:szCs w:val="24"/>
                    </w:rPr>
                    <w:t>（万元）</w:t>
                  </w:r>
                </w:p>
              </w:tc>
              <w:tc>
                <w:tcPr>
                  <w:tcW w:w="1985" w:type="dxa"/>
                  <w:tcBorders>
                    <w:top w:val="single" w:color="auto" w:sz="4" w:space="0"/>
                    <w:left w:val="nil"/>
                    <w:bottom w:val="single" w:color="auto" w:sz="4" w:space="0"/>
                    <w:right w:val="single" w:color="auto" w:sz="4" w:space="0"/>
                  </w:tcBorders>
                  <w:vAlign w:val="center"/>
                </w:tcPr>
                <w:p w14:paraId="011712A7">
                  <w:pPr>
                    <w:widowControl/>
                    <w:jc w:val="center"/>
                    <w:rPr>
                      <w:rFonts w:ascii="仿宋" w:hAnsi="仿宋" w:eastAsia="仿宋" w:cs="Times New Roman"/>
                      <w:kern w:val="0"/>
                      <w:sz w:val="24"/>
                      <w:szCs w:val="24"/>
                    </w:rPr>
                  </w:pPr>
                  <w:r>
                    <w:rPr>
                      <w:rFonts w:hint="eastAsia" w:ascii="仿宋" w:hAnsi="仿宋" w:eastAsia="仿宋"/>
                      <w:kern w:val="0"/>
                      <w:sz w:val="24"/>
                      <w:szCs w:val="24"/>
                    </w:rPr>
                    <w:t>标段控制价上限（万元）</w:t>
                  </w:r>
                </w:p>
              </w:tc>
            </w:tr>
            <w:tr w14:paraId="7A7AC10C">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4E8A1A0F">
                  <w:pPr>
                    <w:widowControl/>
                    <w:jc w:val="center"/>
                    <w:rPr>
                      <w:rFonts w:ascii="仿宋" w:hAnsi="仿宋" w:eastAsia="仿宋" w:cs="Times New Roman"/>
                      <w:kern w:val="0"/>
                      <w:sz w:val="24"/>
                      <w:szCs w:val="24"/>
                    </w:rPr>
                  </w:pPr>
                  <w:r>
                    <w:rPr>
                      <w:rFonts w:hint="eastAsia" w:ascii="仿宋" w:hAnsi="仿宋" w:eastAsia="仿宋"/>
                      <w:kern w:val="0"/>
                      <w:sz w:val="24"/>
                      <w:szCs w:val="24"/>
                    </w:rPr>
                    <w:t>1</w:t>
                  </w:r>
                </w:p>
              </w:tc>
              <w:tc>
                <w:tcPr>
                  <w:tcW w:w="5245" w:type="dxa"/>
                  <w:tcBorders>
                    <w:top w:val="nil"/>
                    <w:left w:val="nil"/>
                    <w:bottom w:val="single" w:color="auto" w:sz="4" w:space="0"/>
                    <w:right w:val="single" w:color="auto" w:sz="4" w:space="0"/>
                  </w:tcBorders>
                  <w:vAlign w:val="center"/>
                </w:tcPr>
                <w:p w14:paraId="3F71EA7B">
                  <w:pPr>
                    <w:widowControl/>
                    <w:jc w:val="center"/>
                    <w:rPr>
                      <w:rFonts w:ascii="仿宋" w:hAnsi="仿宋" w:eastAsia="仿宋" w:cs="Times New Roman"/>
                      <w:kern w:val="0"/>
                      <w:sz w:val="24"/>
                      <w:szCs w:val="24"/>
                    </w:rPr>
                  </w:pPr>
                  <w:r>
                    <w:rPr>
                      <w:rFonts w:hint="eastAsia" w:ascii="仿宋" w:hAnsi="仿宋" w:eastAsia="仿宋"/>
                      <w:kern w:val="0"/>
                      <w:sz w:val="24"/>
                      <w:szCs w:val="24"/>
                    </w:rPr>
                    <w:t>G321线K743+000-K744+000路面修复养护工程</w:t>
                  </w:r>
                </w:p>
              </w:tc>
              <w:tc>
                <w:tcPr>
                  <w:tcW w:w="2126" w:type="dxa"/>
                  <w:tcBorders>
                    <w:top w:val="single" w:color="auto" w:sz="4" w:space="0"/>
                    <w:left w:val="nil"/>
                    <w:bottom w:val="single" w:color="auto" w:sz="4" w:space="0"/>
                    <w:right w:val="single" w:color="auto" w:sz="4" w:space="0"/>
                  </w:tcBorders>
                  <w:vAlign w:val="center"/>
                </w:tcPr>
                <w:p w14:paraId="2FEF615E">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5.02 </w:t>
                  </w:r>
                </w:p>
              </w:tc>
              <w:tc>
                <w:tcPr>
                  <w:tcW w:w="1985" w:type="dxa"/>
                  <w:vMerge w:val="restart"/>
                  <w:tcBorders>
                    <w:top w:val="nil"/>
                    <w:left w:val="nil"/>
                    <w:bottom w:val="single" w:color="auto" w:sz="4" w:space="0"/>
                    <w:right w:val="single" w:color="auto" w:sz="4" w:space="0"/>
                  </w:tcBorders>
                  <w:vAlign w:val="center"/>
                </w:tcPr>
                <w:p w14:paraId="7484885B">
                  <w:pPr>
                    <w:widowControl/>
                    <w:jc w:val="center"/>
                    <w:rPr>
                      <w:rFonts w:ascii="仿宋" w:hAnsi="仿宋" w:eastAsia="仿宋" w:cs="Times New Roman"/>
                      <w:kern w:val="0"/>
                      <w:sz w:val="24"/>
                      <w:szCs w:val="24"/>
                    </w:rPr>
                  </w:pPr>
                  <w:r>
                    <w:rPr>
                      <w:rFonts w:hint="eastAsia" w:ascii="仿宋" w:hAnsi="仿宋" w:eastAsia="仿宋"/>
                      <w:kern w:val="0"/>
                      <w:sz w:val="24"/>
                      <w:szCs w:val="24"/>
                    </w:rPr>
                    <w:t>32.6</w:t>
                  </w:r>
                </w:p>
              </w:tc>
            </w:tr>
            <w:tr w14:paraId="2406D2CD">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553AD983">
                  <w:pPr>
                    <w:widowControl/>
                    <w:jc w:val="center"/>
                    <w:rPr>
                      <w:rFonts w:ascii="仿宋" w:hAnsi="仿宋" w:eastAsia="仿宋" w:cs="Times New Roman"/>
                      <w:kern w:val="0"/>
                      <w:sz w:val="24"/>
                      <w:szCs w:val="24"/>
                    </w:rPr>
                  </w:pPr>
                  <w:r>
                    <w:rPr>
                      <w:rFonts w:hint="eastAsia" w:ascii="仿宋" w:hAnsi="仿宋" w:eastAsia="仿宋"/>
                      <w:kern w:val="0"/>
                      <w:sz w:val="24"/>
                      <w:szCs w:val="24"/>
                    </w:rPr>
                    <w:t>2</w:t>
                  </w:r>
                </w:p>
              </w:tc>
              <w:tc>
                <w:tcPr>
                  <w:tcW w:w="5245" w:type="dxa"/>
                  <w:tcBorders>
                    <w:top w:val="nil"/>
                    <w:left w:val="nil"/>
                    <w:bottom w:val="single" w:color="auto" w:sz="4" w:space="0"/>
                    <w:right w:val="single" w:color="auto" w:sz="4" w:space="0"/>
                  </w:tcBorders>
                  <w:vAlign w:val="center"/>
                </w:tcPr>
                <w:p w14:paraId="5954D164">
                  <w:pPr>
                    <w:widowControl/>
                    <w:jc w:val="center"/>
                    <w:rPr>
                      <w:rFonts w:ascii="仿宋" w:hAnsi="仿宋" w:eastAsia="仿宋" w:cs="Times New Roman"/>
                      <w:kern w:val="0"/>
                      <w:sz w:val="24"/>
                      <w:szCs w:val="24"/>
                    </w:rPr>
                  </w:pPr>
                  <w:r>
                    <w:rPr>
                      <w:rFonts w:hint="eastAsia" w:ascii="仿宋" w:hAnsi="仿宋" w:eastAsia="仿宋"/>
                      <w:kern w:val="0"/>
                      <w:sz w:val="24"/>
                      <w:szCs w:val="24"/>
                    </w:rPr>
                    <w:t>G321线K756+457-K759+000路面修复养护工程</w:t>
                  </w:r>
                </w:p>
              </w:tc>
              <w:tc>
                <w:tcPr>
                  <w:tcW w:w="2126" w:type="dxa"/>
                  <w:tcBorders>
                    <w:top w:val="nil"/>
                    <w:left w:val="nil"/>
                    <w:bottom w:val="single" w:color="auto" w:sz="4" w:space="0"/>
                    <w:right w:val="single" w:color="auto" w:sz="4" w:space="0"/>
                  </w:tcBorders>
                  <w:vAlign w:val="center"/>
                </w:tcPr>
                <w:p w14:paraId="4829C385">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10.79 </w:t>
                  </w:r>
                </w:p>
              </w:tc>
              <w:tc>
                <w:tcPr>
                  <w:tcW w:w="1985" w:type="dxa"/>
                  <w:vMerge w:val="continue"/>
                  <w:tcBorders>
                    <w:top w:val="nil"/>
                    <w:left w:val="nil"/>
                    <w:bottom w:val="single" w:color="auto" w:sz="4" w:space="0"/>
                    <w:right w:val="single" w:color="auto" w:sz="4" w:space="0"/>
                  </w:tcBorders>
                  <w:vAlign w:val="center"/>
                </w:tcPr>
                <w:p w14:paraId="0063DFBA">
                  <w:pPr>
                    <w:widowControl/>
                    <w:jc w:val="left"/>
                    <w:rPr>
                      <w:rFonts w:ascii="仿宋" w:hAnsi="仿宋" w:eastAsia="仿宋" w:cs="Times New Roman"/>
                      <w:kern w:val="0"/>
                      <w:sz w:val="24"/>
                      <w:szCs w:val="24"/>
                    </w:rPr>
                  </w:pPr>
                </w:p>
              </w:tc>
            </w:tr>
            <w:tr w14:paraId="674E3D2F">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03C6F77D">
                  <w:pPr>
                    <w:widowControl/>
                    <w:jc w:val="center"/>
                    <w:rPr>
                      <w:rFonts w:ascii="仿宋" w:hAnsi="仿宋" w:eastAsia="仿宋" w:cs="Times New Roman"/>
                      <w:kern w:val="0"/>
                      <w:sz w:val="24"/>
                      <w:szCs w:val="24"/>
                    </w:rPr>
                  </w:pPr>
                  <w:r>
                    <w:rPr>
                      <w:rFonts w:hint="eastAsia" w:ascii="仿宋" w:hAnsi="仿宋" w:eastAsia="仿宋"/>
                      <w:kern w:val="0"/>
                      <w:sz w:val="24"/>
                      <w:szCs w:val="24"/>
                    </w:rPr>
                    <w:t>3</w:t>
                  </w:r>
                </w:p>
              </w:tc>
              <w:tc>
                <w:tcPr>
                  <w:tcW w:w="5245" w:type="dxa"/>
                  <w:tcBorders>
                    <w:top w:val="nil"/>
                    <w:left w:val="nil"/>
                    <w:bottom w:val="single" w:color="auto" w:sz="4" w:space="0"/>
                    <w:right w:val="single" w:color="auto" w:sz="4" w:space="0"/>
                  </w:tcBorders>
                  <w:vAlign w:val="center"/>
                </w:tcPr>
                <w:p w14:paraId="683D1C29">
                  <w:pPr>
                    <w:widowControl/>
                    <w:jc w:val="center"/>
                    <w:rPr>
                      <w:rFonts w:ascii="仿宋" w:hAnsi="仿宋" w:eastAsia="仿宋" w:cs="Times New Roman"/>
                      <w:kern w:val="0"/>
                      <w:sz w:val="24"/>
                      <w:szCs w:val="24"/>
                    </w:rPr>
                  </w:pPr>
                  <w:r>
                    <w:rPr>
                      <w:rFonts w:hint="eastAsia" w:ascii="仿宋" w:hAnsi="仿宋" w:eastAsia="仿宋"/>
                      <w:kern w:val="0"/>
                      <w:sz w:val="24"/>
                      <w:szCs w:val="24"/>
                    </w:rPr>
                    <w:t>G321线K763+000-K764+000路面修复养护工程</w:t>
                  </w:r>
                </w:p>
              </w:tc>
              <w:tc>
                <w:tcPr>
                  <w:tcW w:w="2126" w:type="dxa"/>
                  <w:tcBorders>
                    <w:top w:val="nil"/>
                    <w:left w:val="nil"/>
                    <w:bottom w:val="single" w:color="auto" w:sz="4" w:space="0"/>
                    <w:right w:val="single" w:color="auto" w:sz="4" w:space="0"/>
                  </w:tcBorders>
                  <w:vAlign w:val="center"/>
                </w:tcPr>
                <w:p w14:paraId="63539F9C">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5.02 </w:t>
                  </w:r>
                </w:p>
              </w:tc>
              <w:tc>
                <w:tcPr>
                  <w:tcW w:w="1985" w:type="dxa"/>
                  <w:vMerge w:val="continue"/>
                  <w:tcBorders>
                    <w:top w:val="nil"/>
                    <w:left w:val="nil"/>
                    <w:bottom w:val="single" w:color="auto" w:sz="4" w:space="0"/>
                    <w:right w:val="single" w:color="auto" w:sz="4" w:space="0"/>
                  </w:tcBorders>
                  <w:vAlign w:val="center"/>
                </w:tcPr>
                <w:p w14:paraId="423617B6">
                  <w:pPr>
                    <w:widowControl/>
                    <w:jc w:val="left"/>
                    <w:rPr>
                      <w:rFonts w:ascii="仿宋" w:hAnsi="仿宋" w:eastAsia="仿宋" w:cs="Times New Roman"/>
                      <w:kern w:val="0"/>
                      <w:sz w:val="24"/>
                      <w:szCs w:val="24"/>
                    </w:rPr>
                  </w:pPr>
                </w:p>
              </w:tc>
            </w:tr>
            <w:tr w14:paraId="40808DDF">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1DDA9F85">
                  <w:pPr>
                    <w:widowControl/>
                    <w:jc w:val="center"/>
                    <w:rPr>
                      <w:rFonts w:ascii="仿宋" w:hAnsi="仿宋" w:eastAsia="仿宋" w:cs="Times New Roman"/>
                      <w:kern w:val="0"/>
                      <w:sz w:val="24"/>
                      <w:szCs w:val="24"/>
                    </w:rPr>
                  </w:pPr>
                  <w:r>
                    <w:rPr>
                      <w:rFonts w:hint="eastAsia" w:ascii="仿宋" w:hAnsi="仿宋" w:eastAsia="仿宋"/>
                      <w:kern w:val="0"/>
                      <w:sz w:val="24"/>
                      <w:szCs w:val="24"/>
                    </w:rPr>
                    <w:t>4</w:t>
                  </w:r>
                </w:p>
              </w:tc>
              <w:tc>
                <w:tcPr>
                  <w:tcW w:w="5245" w:type="dxa"/>
                  <w:tcBorders>
                    <w:top w:val="nil"/>
                    <w:left w:val="nil"/>
                    <w:bottom w:val="single" w:color="auto" w:sz="4" w:space="0"/>
                    <w:right w:val="single" w:color="auto" w:sz="4" w:space="0"/>
                  </w:tcBorders>
                  <w:vAlign w:val="center"/>
                </w:tcPr>
                <w:p w14:paraId="5356E730">
                  <w:pPr>
                    <w:widowControl/>
                    <w:jc w:val="center"/>
                    <w:rPr>
                      <w:rFonts w:ascii="仿宋" w:hAnsi="仿宋" w:eastAsia="仿宋" w:cs="Times New Roman"/>
                      <w:kern w:val="0"/>
                      <w:sz w:val="24"/>
                      <w:szCs w:val="24"/>
                    </w:rPr>
                  </w:pPr>
                  <w:r>
                    <w:rPr>
                      <w:rFonts w:hint="eastAsia" w:ascii="仿宋" w:hAnsi="仿宋" w:eastAsia="仿宋"/>
                      <w:kern w:val="0"/>
                      <w:sz w:val="24"/>
                      <w:szCs w:val="24"/>
                    </w:rPr>
                    <w:t>G322线K1976+000-K1978+000路面修复养护工程</w:t>
                  </w:r>
                </w:p>
              </w:tc>
              <w:tc>
                <w:tcPr>
                  <w:tcW w:w="2126" w:type="dxa"/>
                  <w:tcBorders>
                    <w:top w:val="nil"/>
                    <w:left w:val="nil"/>
                    <w:bottom w:val="single" w:color="auto" w:sz="4" w:space="0"/>
                    <w:right w:val="single" w:color="auto" w:sz="4" w:space="0"/>
                  </w:tcBorders>
                  <w:vAlign w:val="center"/>
                </w:tcPr>
                <w:p w14:paraId="32E02D28">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7.53 </w:t>
                  </w:r>
                </w:p>
              </w:tc>
              <w:tc>
                <w:tcPr>
                  <w:tcW w:w="1985" w:type="dxa"/>
                  <w:vMerge w:val="continue"/>
                  <w:tcBorders>
                    <w:top w:val="nil"/>
                    <w:left w:val="nil"/>
                    <w:bottom w:val="single" w:color="auto" w:sz="4" w:space="0"/>
                    <w:right w:val="single" w:color="auto" w:sz="4" w:space="0"/>
                  </w:tcBorders>
                  <w:vAlign w:val="center"/>
                </w:tcPr>
                <w:p w14:paraId="23749A00">
                  <w:pPr>
                    <w:widowControl/>
                    <w:jc w:val="left"/>
                    <w:rPr>
                      <w:rFonts w:ascii="仿宋" w:hAnsi="仿宋" w:eastAsia="仿宋" w:cs="Times New Roman"/>
                      <w:kern w:val="0"/>
                      <w:sz w:val="24"/>
                      <w:szCs w:val="24"/>
                    </w:rPr>
                  </w:pPr>
                </w:p>
              </w:tc>
            </w:tr>
            <w:tr w14:paraId="6DE9B49C">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03DB2236">
                  <w:pPr>
                    <w:widowControl/>
                    <w:jc w:val="center"/>
                    <w:rPr>
                      <w:rFonts w:ascii="仿宋" w:hAnsi="仿宋" w:eastAsia="仿宋" w:cs="Times New Roman"/>
                      <w:kern w:val="0"/>
                      <w:sz w:val="24"/>
                      <w:szCs w:val="24"/>
                    </w:rPr>
                  </w:pPr>
                  <w:r>
                    <w:rPr>
                      <w:rFonts w:hint="eastAsia" w:ascii="仿宋" w:hAnsi="仿宋" w:eastAsia="仿宋"/>
                      <w:kern w:val="0"/>
                      <w:sz w:val="24"/>
                      <w:szCs w:val="24"/>
                    </w:rPr>
                    <w:t>5</w:t>
                  </w:r>
                </w:p>
              </w:tc>
              <w:tc>
                <w:tcPr>
                  <w:tcW w:w="5245" w:type="dxa"/>
                  <w:tcBorders>
                    <w:top w:val="nil"/>
                    <w:left w:val="nil"/>
                    <w:bottom w:val="single" w:color="auto" w:sz="4" w:space="0"/>
                    <w:right w:val="single" w:color="auto" w:sz="4" w:space="0"/>
                  </w:tcBorders>
                  <w:vAlign w:val="center"/>
                </w:tcPr>
                <w:p w14:paraId="1BE29C96">
                  <w:pPr>
                    <w:widowControl/>
                    <w:jc w:val="center"/>
                    <w:rPr>
                      <w:rFonts w:ascii="仿宋" w:hAnsi="仿宋" w:eastAsia="仿宋" w:cs="Times New Roman"/>
                      <w:kern w:val="0"/>
                      <w:sz w:val="24"/>
                      <w:szCs w:val="24"/>
                    </w:rPr>
                  </w:pPr>
                  <w:r>
                    <w:rPr>
                      <w:rFonts w:hint="eastAsia" w:ascii="仿宋" w:hAnsi="仿宋" w:eastAsia="仿宋"/>
                      <w:kern w:val="0"/>
                      <w:sz w:val="24"/>
                      <w:szCs w:val="24"/>
                    </w:rPr>
                    <w:t>G322线K1982+000-K1983+000路面修复养护工程</w:t>
                  </w:r>
                </w:p>
              </w:tc>
              <w:tc>
                <w:tcPr>
                  <w:tcW w:w="2126" w:type="dxa"/>
                  <w:tcBorders>
                    <w:top w:val="nil"/>
                    <w:left w:val="nil"/>
                    <w:bottom w:val="single" w:color="auto" w:sz="4" w:space="0"/>
                    <w:right w:val="single" w:color="auto" w:sz="4" w:space="0"/>
                  </w:tcBorders>
                  <w:vAlign w:val="center"/>
                </w:tcPr>
                <w:p w14:paraId="52A4DC82">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4.26 </w:t>
                  </w:r>
                </w:p>
              </w:tc>
              <w:tc>
                <w:tcPr>
                  <w:tcW w:w="1985" w:type="dxa"/>
                  <w:vMerge w:val="continue"/>
                  <w:tcBorders>
                    <w:top w:val="nil"/>
                    <w:left w:val="nil"/>
                    <w:bottom w:val="single" w:color="auto" w:sz="4" w:space="0"/>
                    <w:right w:val="single" w:color="auto" w:sz="4" w:space="0"/>
                  </w:tcBorders>
                  <w:vAlign w:val="center"/>
                </w:tcPr>
                <w:p w14:paraId="06E36752">
                  <w:pPr>
                    <w:widowControl/>
                    <w:jc w:val="left"/>
                    <w:rPr>
                      <w:rFonts w:ascii="仿宋" w:hAnsi="仿宋" w:eastAsia="仿宋" w:cs="Times New Roman"/>
                      <w:kern w:val="0"/>
                      <w:sz w:val="24"/>
                      <w:szCs w:val="24"/>
                    </w:rPr>
                  </w:pPr>
                </w:p>
              </w:tc>
            </w:tr>
            <w:tr w14:paraId="598946E6">
              <w:tblPrEx>
                <w:tblCellMar>
                  <w:top w:w="0" w:type="dxa"/>
                  <w:left w:w="108" w:type="dxa"/>
                  <w:bottom w:w="0" w:type="dxa"/>
                  <w:right w:w="108" w:type="dxa"/>
                </w:tblCellMar>
              </w:tblPrEx>
              <w:trPr>
                <w:trHeight w:val="555" w:hRule="atLeast"/>
              </w:trPr>
              <w:tc>
                <w:tcPr>
                  <w:tcW w:w="5905" w:type="dxa"/>
                  <w:gridSpan w:val="2"/>
                  <w:tcBorders>
                    <w:top w:val="single" w:color="auto" w:sz="4" w:space="0"/>
                    <w:left w:val="single" w:color="auto" w:sz="4" w:space="0"/>
                    <w:bottom w:val="single" w:color="auto" w:sz="4" w:space="0"/>
                    <w:right w:val="single" w:color="auto" w:sz="4" w:space="0"/>
                  </w:tcBorders>
                  <w:vAlign w:val="center"/>
                </w:tcPr>
                <w:p w14:paraId="5E685D26">
                  <w:pPr>
                    <w:widowControl/>
                    <w:jc w:val="center"/>
                    <w:rPr>
                      <w:rFonts w:ascii="仿宋" w:hAnsi="仿宋" w:eastAsia="仿宋" w:cs="Times New Roman"/>
                      <w:kern w:val="0"/>
                      <w:sz w:val="24"/>
                      <w:szCs w:val="24"/>
                    </w:rPr>
                  </w:pPr>
                  <w:r>
                    <w:rPr>
                      <w:rFonts w:hint="eastAsia" w:ascii="仿宋" w:hAnsi="仿宋" w:eastAsia="仿宋"/>
                      <w:kern w:val="0"/>
                      <w:sz w:val="24"/>
                      <w:szCs w:val="24"/>
                    </w:rPr>
                    <w:t>NO.A小计</w:t>
                  </w:r>
                </w:p>
              </w:tc>
              <w:tc>
                <w:tcPr>
                  <w:tcW w:w="2126" w:type="dxa"/>
                  <w:tcBorders>
                    <w:top w:val="nil"/>
                    <w:left w:val="nil"/>
                    <w:bottom w:val="single" w:color="auto" w:sz="4" w:space="0"/>
                    <w:right w:val="single" w:color="auto" w:sz="4" w:space="0"/>
                  </w:tcBorders>
                  <w:vAlign w:val="center"/>
                </w:tcPr>
                <w:p w14:paraId="127C4032">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32.6 </w:t>
                  </w:r>
                </w:p>
              </w:tc>
              <w:tc>
                <w:tcPr>
                  <w:tcW w:w="1985" w:type="dxa"/>
                  <w:tcBorders>
                    <w:top w:val="nil"/>
                    <w:left w:val="nil"/>
                    <w:bottom w:val="single" w:color="auto" w:sz="4" w:space="0"/>
                    <w:right w:val="single" w:color="auto" w:sz="4" w:space="0"/>
                  </w:tcBorders>
                </w:tcPr>
                <w:p w14:paraId="7F962CEE">
                  <w:pPr>
                    <w:widowControl/>
                    <w:jc w:val="center"/>
                    <w:rPr>
                      <w:rFonts w:ascii="仿宋" w:hAnsi="仿宋" w:eastAsia="仿宋" w:cs="Times New Roman"/>
                      <w:kern w:val="0"/>
                      <w:sz w:val="24"/>
                      <w:szCs w:val="24"/>
                    </w:rPr>
                  </w:pPr>
                  <w:r>
                    <w:rPr>
                      <w:rFonts w:hint="eastAsia" w:ascii="仿宋" w:hAnsi="仿宋" w:eastAsia="仿宋"/>
                      <w:kern w:val="0"/>
                      <w:sz w:val="24"/>
                      <w:szCs w:val="24"/>
                    </w:rPr>
                    <w:t>32.6</w:t>
                  </w:r>
                </w:p>
              </w:tc>
            </w:tr>
            <w:tr w14:paraId="0A498421">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535514E8">
                  <w:pPr>
                    <w:widowControl/>
                    <w:jc w:val="center"/>
                    <w:rPr>
                      <w:rFonts w:ascii="仿宋" w:hAnsi="仿宋" w:eastAsia="仿宋" w:cs="Times New Roman"/>
                      <w:kern w:val="0"/>
                      <w:sz w:val="24"/>
                      <w:szCs w:val="24"/>
                    </w:rPr>
                  </w:pPr>
                  <w:r>
                    <w:rPr>
                      <w:rFonts w:hint="eastAsia" w:ascii="仿宋" w:hAnsi="仿宋" w:eastAsia="仿宋"/>
                      <w:kern w:val="0"/>
                      <w:sz w:val="24"/>
                      <w:szCs w:val="24"/>
                    </w:rPr>
                    <w:t>6</w:t>
                  </w:r>
                </w:p>
              </w:tc>
              <w:tc>
                <w:tcPr>
                  <w:tcW w:w="5245" w:type="dxa"/>
                  <w:tcBorders>
                    <w:top w:val="nil"/>
                    <w:left w:val="nil"/>
                    <w:bottom w:val="single" w:color="auto" w:sz="4" w:space="0"/>
                    <w:right w:val="single" w:color="auto" w:sz="4" w:space="0"/>
                  </w:tcBorders>
                  <w:vAlign w:val="center"/>
                </w:tcPr>
                <w:p w14:paraId="00FA7790">
                  <w:pPr>
                    <w:widowControl/>
                    <w:jc w:val="center"/>
                    <w:rPr>
                      <w:rFonts w:ascii="仿宋" w:hAnsi="仿宋" w:eastAsia="仿宋" w:cs="Times New Roman"/>
                      <w:kern w:val="0"/>
                      <w:sz w:val="24"/>
                      <w:szCs w:val="24"/>
                    </w:rPr>
                  </w:pPr>
                  <w:r>
                    <w:rPr>
                      <w:rFonts w:hint="eastAsia" w:ascii="仿宋" w:hAnsi="仿宋" w:eastAsia="仿宋"/>
                      <w:kern w:val="0"/>
                      <w:sz w:val="24"/>
                      <w:szCs w:val="24"/>
                    </w:rPr>
                    <w:t>G355线K1821.120-K1822.330路面修复养护工程</w:t>
                  </w:r>
                </w:p>
              </w:tc>
              <w:tc>
                <w:tcPr>
                  <w:tcW w:w="2126" w:type="dxa"/>
                  <w:tcBorders>
                    <w:top w:val="nil"/>
                    <w:left w:val="nil"/>
                    <w:bottom w:val="single" w:color="auto" w:sz="4" w:space="0"/>
                    <w:right w:val="single" w:color="auto" w:sz="4" w:space="0"/>
                  </w:tcBorders>
                  <w:vAlign w:val="center"/>
                </w:tcPr>
                <w:p w14:paraId="632C50D7">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14.14 </w:t>
                  </w:r>
                </w:p>
              </w:tc>
              <w:tc>
                <w:tcPr>
                  <w:tcW w:w="1985" w:type="dxa"/>
                  <w:vMerge w:val="restart"/>
                  <w:tcBorders>
                    <w:top w:val="nil"/>
                    <w:left w:val="nil"/>
                    <w:bottom w:val="single" w:color="auto" w:sz="4" w:space="0"/>
                    <w:right w:val="single" w:color="auto" w:sz="4" w:space="0"/>
                  </w:tcBorders>
                  <w:vAlign w:val="center"/>
                </w:tcPr>
                <w:p w14:paraId="3A066A11">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32.8 </w:t>
                  </w:r>
                </w:p>
              </w:tc>
            </w:tr>
            <w:tr w14:paraId="15A31561">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480007B9">
                  <w:pPr>
                    <w:widowControl/>
                    <w:jc w:val="center"/>
                    <w:rPr>
                      <w:rFonts w:ascii="仿宋" w:hAnsi="仿宋" w:eastAsia="仿宋" w:cs="Times New Roman"/>
                      <w:kern w:val="0"/>
                      <w:sz w:val="24"/>
                      <w:szCs w:val="24"/>
                    </w:rPr>
                  </w:pPr>
                  <w:r>
                    <w:rPr>
                      <w:rFonts w:hint="eastAsia" w:ascii="仿宋" w:hAnsi="仿宋" w:eastAsia="仿宋"/>
                      <w:kern w:val="0"/>
                      <w:sz w:val="24"/>
                      <w:szCs w:val="24"/>
                    </w:rPr>
                    <w:t>7</w:t>
                  </w:r>
                </w:p>
              </w:tc>
              <w:tc>
                <w:tcPr>
                  <w:tcW w:w="5245" w:type="dxa"/>
                  <w:tcBorders>
                    <w:top w:val="nil"/>
                    <w:left w:val="nil"/>
                    <w:bottom w:val="single" w:color="auto" w:sz="4" w:space="0"/>
                    <w:right w:val="single" w:color="auto" w:sz="4" w:space="0"/>
                  </w:tcBorders>
                  <w:vAlign w:val="center"/>
                </w:tcPr>
                <w:p w14:paraId="5510C0AE">
                  <w:pPr>
                    <w:widowControl/>
                    <w:jc w:val="center"/>
                    <w:rPr>
                      <w:rFonts w:ascii="仿宋" w:hAnsi="仿宋" w:eastAsia="仿宋" w:cs="Times New Roman"/>
                      <w:kern w:val="0"/>
                      <w:sz w:val="24"/>
                      <w:szCs w:val="24"/>
                    </w:rPr>
                  </w:pPr>
                  <w:r>
                    <w:rPr>
                      <w:rFonts w:hint="eastAsia" w:ascii="仿宋" w:hAnsi="仿宋" w:eastAsia="仿宋"/>
                      <w:kern w:val="0"/>
                      <w:sz w:val="24"/>
                      <w:szCs w:val="24"/>
                    </w:rPr>
                    <w:t>G355线K1825.330-K1826.330路面修复养护工程</w:t>
                  </w:r>
                </w:p>
              </w:tc>
              <w:tc>
                <w:tcPr>
                  <w:tcW w:w="2126" w:type="dxa"/>
                  <w:tcBorders>
                    <w:top w:val="nil"/>
                    <w:left w:val="nil"/>
                    <w:bottom w:val="single" w:color="auto" w:sz="4" w:space="0"/>
                    <w:right w:val="single" w:color="auto" w:sz="4" w:space="0"/>
                  </w:tcBorders>
                  <w:vAlign w:val="center"/>
                </w:tcPr>
                <w:p w14:paraId="1D91ECF4">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5.62 </w:t>
                  </w:r>
                </w:p>
              </w:tc>
              <w:tc>
                <w:tcPr>
                  <w:tcW w:w="1985" w:type="dxa"/>
                  <w:vMerge w:val="continue"/>
                  <w:tcBorders>
                    <w:top w:val="nil"/>
                    <w:left w:val="nil"/>
                    <w:bottom w:val="single" w:color="auto" w:sz="4" w:space="0"/>
                    <w:right w:val="single" w:color="auto" w:sz="4" w:space="0"/>
                  </w:tcBorders>
                  <w:vAlign w:val="center"/>
                </w:tcPr>
                <w:p w14:paraId="2BDF495A">
                  <w:pPr>
                    <w:widowControl/>
                    <w:jc w:val="left"/>
                    <w:rPr>
                      <w:rFonts w:ascii="仿宋" w:hAnsi="仿宋" w:eastAsia="仿宋" w:cs="Times New Roman"/>
                      <w:kern w:val="0"/>
                      <w:sz w:val="24"/>
                      <w:szCs w:val="24"/>
                    </w:rPr>
                  </w:pPr>
                </w:p>
              </w:tc>
            </w:tr>
            <w:tr w14:paraId="010D6C4C">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0CF0BC2E">
                  <w:pPr>
                    <w:widowControl/>
                    <w:jc w:val="center"/>
                    <w:rPr>
                      <w:rFonts w:ascii="仿宋" w:hAnsi="仿宋" w:eastAsia="仿宋" w:cs="Times New Roman"/>
                      <w:kern w:val="0"/>
                      <w:sz w:val="24"/>
                      <w:szCs w:val="24"/>
                    </w:rPr>
                  </w:pPr>
                  <w:r>
                    <w:rPr>
                      <w:rFonts w:hint="eastAsia" w:ascii="仿宋" w:hAnsi="仿宋" w:eastAsia="仿宋"/>
                      <w:kern w:val="0"/>
                      <w:sz w:val="24"/>
                      <w:szCs w:val="24"/>
                    </w:rPr>
                    <w:t>8</w:t>
                  </w:r>
                </w:p>
              </w:tc>
              <w:tc>
                <w:tcPr>
                  <w:tcW w:w="5245" w:type="dxa"/>
                  <w:tcBorders>
                    <w:top w:val="nil"/>
                    <w:left w:val="nil"/>
                    <w:bottom w:val="single" w:color="auto" w:sz="4" w:space="0"/>
                    <w:right w:val="single" w:color="auto" w:sz="4" w:space="0"/>
                  </w:tcBorders>
                  <w:vAlign w:val="center"/>
                </w:tcPr>
                <w:p w14:paraId="379AF10C">
                  <w:pPr>
                    <w:widowControl/>
                    <w:jc w:val="center"/>
                    <w:rPr>
                      <w:rFonts w:ascii="仿宋" w:hAnsi="仿宋" w:eastAsia="仿宋" w:cs="Times New Roman"/>
                      <w:kern w:val="0"/>
                      <w:sz w:val="24"/>
                      <w:szCs w:val="24"/>
                    </w:rPr>
                  </w:pPr>
                  <w:r>
                    <w:rPr>
                      <w:rFonts w:hint="eastAsia" w:ascii="仿宋" w:hAnsi="仿宋" w:eastAsia="仿宋"/>
                      <w:kern w:val="0"/>
                      <w:sz w:val="24"/>
                      <w:szCs w:val="24"/>
                    </w:rPr>
                    <w:t>G355线K1819.360-K1833路面修复养护工程（选段)</w:t>
                  </w:r>
                </w:p>
              </w:tc>
              <w:tc>
                <w:tcPr>
                  <w:tcW w:w="2126" w:type="dxa"/>
                  <w:tcBorders>
                    <w:top w:val="nil"/>
                    <w:left w:val="nil"/>
                    <w:bottom w:val="single" w:color="auto" w:sz="4" w:space="0"/>
                    <w:right w:val="single" w:color="auto" w:sz="4" w:space="0"/>
                  </w:tcBorders>
                  <w:vAlign w:val="center"/>
                </w:tcPr>
                <w:p w14:paraId="572683CE">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10.33 </w:t>
                  </w:r>
                </w:p>
              </w:tc>
              <w:tc>
                <w:tcPr>
                  <w:tcW w:w="1985" w:type="dxa"/>
                  <w:vMerge w:val="continue"/>
                  <w:tcBorders>
                    <w:top w:val="nil"/>
                    <w:left w:val="nil"/>
                    <w:bottom w:val="single" w:color="auto" w:sz="4" w:space="0"/>
                    <w:right w:val="single" w:color="auto" w:sz="4" w:space="0"/>
                  </w:tcBorders>
                  <w:vAlign w:val="center"/>
                </w:tcPr>
                <w:p w14:paraId="7653B4B8">
                  <w:pPr>
                    <w:widowControl/>
                    <w:jc w:val="left"/>
                    <w:rPr>
                      <w:rFonts w:ascii="仿宋" w:hAnsi="仿宋" w:eastAsia="仿宋" w:cs="Times New Roman"/>
                      <w:kern w:val="0"/>
                      <w:sz w:val="24"/>
                      <w:szCs w:val="24"/>
                    </w:rPr>
                  </w:pPr>
                </w:p>
              </w:tc>
            </w:tr>
            <w:tr w14:paraId="1ED775ED">
              <w:tblPrEx>
                <w:tblCellMar>
                  <w:top w:w="0" w:type="dxa"/>
                  <w:left w:w="108" w:type="dxa"/>
                  <w:bottom w:w="0" w:type="dxa"/>
                  <w:right w:w="108" w:type="dxa"/>
                </w:tblCellMar>
              </w:tblPrEx>
              <w:trPr>
                <w:trHeight w:val="555" w:hRule="atLeast"/>
              </w:trPr>
              <w:tc>
                <w:tcPr>
                  <w:tcW w:w="660" w:type="dxa"/>
                  <w:tcBorders>
                    <w:top w:val="nil"/>
                    <w:left w:val="single" w:color="auto" w:sz="4" w:space="0"/>
                    <w:bottom w:val="single" w:color="auto" w:sz="4" w:space="0"/>
                    <w:right w:val="single" w:color="auto" w:sz="4" w:space="0"/>
                  </w:tcBorders>
                  <w:vAlign w:val="center"/>
                </w:tcPr>
                <w:p w14:paraId="5E0680CC">
                  <w:pPr>
                    <w:widowControl/>
                    <w:jc w:val="center"/>
                    <w:rPr>
                      <w:rFonts w:ascii="仿宋" w:hAnsi="仿宋" w:eastAsia="仿宋" w:cs="Times New Roman"/>
                      <w:kern w:val="0"/>
                      <w:sz w:val="24"/>
                      <w:szCs w:val="24"/>
                    </w:rPr>
                  </w:pPr>
                  <w:r>
                    <w:rPr>
                      <w:rFonts w:hint="eastAsia" w:ascii="仿宋" w:hAnsi="仿宋" w:eastAsia="仿宋"/>
                      <w:kern w:val="0"/>
                      <w:sz w:val="24"/>
                      <w:szCs w:val="24"/>
                    </w:rPr>
                    <w:t>9</w:t>
                  </w:r>
                </w:p>
              </w:tc>
              <w:tc>
                <w:tcPr>
                  <w:tcW w:w="5245" w:type="dxa"/>
                  <w:tcBorders>
                    <w:top w:val="nil"/>
                    <w:left w:val="nil"/>
                    <w:bottom w:val="single" w:color="auto" w:sz="4" w:space="0"/>
                    <w:right w:val="single" w:color="auto" w:sz="4" w:space="0"/>
                  </w:tcBorders>
                  <w:vAlign w:val="center"/>
                </w:tcPr>
                <w:p w14:paraId="63F9F576">
                  <w:pPr>
                    <w:widowControl/>
                    <w:jc w:val="center"/>
                    <w:rPr>
                      <w:rFonts w:ascii="仿宋" w:hAnsi="仿宋" w:eastAsia="仿宋" w:cs="Times New Roman"/>
                      <w:kern w:val="0"/>
                      <w:sz w:val="24"/>
                      <w:szCs w:val="24"/>
                    </w:rPr>
                  </w:pPr>
                  <w:r>
                    <w:rPr>
                      <w:rFonts w:hint="eastAsia" w:ascii="仿宋" w:hAnsi="仿宋" w:eastAsia="仿宋"/>
                      <w:kern w:val="0"/>
                      <w:sz w:val="24"/>
                      <w:szCs w:val="24"/>
                    </w:rPr>
                    <w:t>S305忻城肯索至思练街头工程</w:t>
                  </w:r>
                </w:p>
              </w:tc>
              <w:tc>
                <w:tcPr>
                  <w:tcW w:w="2126" w:type="dxa"/>
                  <w:tcBorders>
                    <w:top w:val="nil"/>
                    <w:left w:val="nil"/>
                    <w:bottom w:val="single" w:color="auto" w:sz="4" w:space="0"/>
                    <w:right w:val="single" w:color="auto" w:sz="4" w:space="0"/>
                  </w:tcBorders>
                  <w:vAlign w:val="center"/>
                </w:tcPr>
                <w:p w14:paraId="47C78E18">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2.71 </w:t>
                  </w:r>
                </w:p>
              </w:tc>
              <w:tc>
                <w:tcPr>
                  <w:tcW w:w="1985" w:type="dxa"/>
                  <w:vMerge w:val="continue"/>
                  <w:tcBorders>
                    <w:top w:val="nil"/>
                    <w:left w:val="nil"/>
                    <w:bottom w:val="single" w:color="auto" w:sz="4" w:space="0"/>
                    <w:right w:val="single" w:color="auto" w:sz="4" w:space="0"/>
                  </w:tcBorders>
                  <w:vAlign w:val="center"/>
                </w:tcPr>
                <w:p w14:paraId="0E559DD5">
                  <w:pPr>
                    <w:widowControl/>
                    <w:jc w:val="left"/>
                    <w:rPr>
                      <w:rFonts w:ascii="仿宋" w:hAnsi="仿宋" w:eastAsia="仿宋" w:cs="Times New Roman"/>
                      <w:kern w:val="0"/>
                      <w:sz w:val="24"/>
                      <w:szCs w:val="24"/>
                    </w:rPr>
                  </w:pPr>
                </w:p>
              </w:tc>
            </w:tr>
            <w:tr w14:paraId="102F227D">
              <w:tblPrEx>
                <w:tblCellMar>
                  <w:top w:w="0" w:type="dxa"/>
                  <w:left w:w="108" w:type="dxa"/>
                  <w:bottom w:w="0" w:type="dxa"/>
                  <w:right w:w="108" w:type="dxa"/>
                </w:tblCellMar>
              </w:tblPrEx>
              <w:trPr>
                <w:trHeight w:val="435" w:hRule="atLeast"/>
              </w:trPr>
              <w:tc>
                <w:tcPr>
                  <w:tcW w:w="5905" w:type="dxa"/>
                  <w:gridSpan w:val="2"/>
                  <w:tcBorders>
                    <w:top w:val="single" w:color="auto" w:sz="4" w:space="0"/>
                    <w:left w:val="single" w:color="auto" w:sz="4" w:space="0"/>
                    <w:bottom w:val="single" w:color="auto" w:sz="4" w:space="0"/>
                    <w:right w:val="single" w:color="auto" w:sz="4" w:space="0"/>
                  </w:tcBorders>
                  <w:vAlign w:val="center"/>
                </w:tcPr>
                <w:p w14:paraId="19F17C91">
                  <w:pPr>
                    <w:widowControl/>
                    <w:jc w:val="center"/>
                    <w:rPr>
                      <w:rFonts w:ascii="仿宋" w:hAnsi="仿宋" w:eastAsia="仿宋" w:cs="Times New Roman"/>
                      <w:kern w:val="0"/>
                      <w:sz w:val="24"/>
                      <w:szCs w:val="24"/>
                    </w:rPr>
                  </w:pPr>
                  <w:r>
                    <w:rPr>
                      <w:rFonts w:hint="eastAsia" w:ascii="仿宋" w:hAnsi="仿宋" w:eastAsia="仿宋"/>
                      <w:kern w:val="0"/>
                      <w:sz w:val="24"/>
                      <w:szCs w:val="24"/>
                    </w:rPr>
                    <w:t>NO.B小计</w:t>
                  </w:r>
                </w:p>
              </w:tc>
              <w:tc>
                <w:tcPr>
                  <w:tcW w:w="2126" w:type="dxa"/>
                  <w:tcBorders>
                    <w:top w:val="nil"/>
                    <w:left w:val="nil"/>
                    <w:bottom w:val="single" w:color="auto" w:sz="4" w:space="0"/>
                    <w:right w:val="single" w:color="auto" w:sz="4" w:space="0"/>
                  </w:tcBorders>
                  <w:vAlign w:val="center"/>
                </w:tcPr>
                <w:p w14:paraId="22E53E0D">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32.8 </w:t>
                  </w:r>
                </w:p>
              </w:tc>
              <w:tc>
                <w:tcPr>
                  <w:tcW w:w="1985" w:type="dxa"/>
                  <w:tcBorders>
                    <w:top w:val="nil"/>
                    <w:left w:val="nil"/>
                    <w:bottom w:val="single" w:color="auto" w:sz="4" w:space="0"/>
                    <w:right w:val="single" w:color="auto" w:sz="4" w:space="0"/>
                  </w:tcBorders>
                </w:tcPr>
                <w:p w14:paraId="0F19219E">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32.8 </w:t>
                  </w:r>
                </w:p>
              </w:tc>
            </w:tr>
            <w:tr w14:paraId="2E31E1D0">
              <w:tblPrEx>
                <w:tblCellMar>
                  <w:top w:w="0" w:type="dxa"/>
                  <w:left w:w="108" w:type="dxa"/>
                  <w:bottom w:w="0" w:type="dxa"/>
                  <w:right w:w="108" w:type="dxa"/>
                </w:tblCellMar>
              </w:tblPrEx>
              <w:trPr>
                <w:trHeight w:val="435" w:hRule="atLeast"/>
              </w:trPr>
              <w:tc>
                <w:tcPr>
                  <w:tcW w:w="5905" w:type="dxa"/>
                  <w:gridSpan w:val="2"/>
                  <w:tcBorders>
                    <w:top w:val="single" w:color="auto" w:sz="4" w:space="0"/>
                    <w:left w:val="single" w:color="auto" w:sz="4" w:space="0"/>
                    <w:bottom w:val="single" w:color="auto" w:sz="4" w:space="0"/>
                    <w:right w:val="single" w:color="auto" w:sz="4" w:space="0"/>
                  </w:tcBorders>
                  <w:noWrap/>
                  <w:vAlign w:val="center"/>
                </w:tcPr>
                <w:p w14:paraId="299058CB">
                  <w:pPr>
                    <w:widowControl/>
                    <w:jc w:val="center"/>
                    <w:rPr>
                      <w:rFonts w:ascii="仿宋" w:hAnsi="仿宋" w:eastAsia="仿宋" w:cs="Times New Roman"/>
                      <w:kern w:val="0"/>
                      <w:sz w:val="24"/>
                      <w:szCs w:val="24"/>
                    </w:rPr>
                  </w:pPr>
                  <w:r>
                    <w:rPr>
                      <w:rFonts w:hint="eastAsia" w:ascii="仿宋" w:hAnsi="仿宋" w:eastAsia="仿宋"/>
                      <w:kern w:val="0"/>
                      <w:sz w:val="24"/>
                      <w:szCs w:val="24"/>
                    </w:rPr>
                    <w:t>总计</w:t>
                  </w:r>
                </w:p>
              </w:tc>
              <w:tc>
                <w:tcPr>
                  <w:tcW w:w="2126" w:type="dxa"/>
                  <w:tcBorders>
                    <w:top w:val="nil"/>
                    <w:left w:val="nil"/>
                    <w:bottom w:val="single" w:color="auto" w:sz="4" w:space="0"/>
                    <w:right w:val="single" w:color="auto" w:sz="4" w:space="0"/>
                  </w:tcBorders>
                  <w:noWrap/>
                  <w:vAlign w:val="center"/>
                </w:tcPr>
                <w:p w14:paraId="59D4A891">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                   65.4 </w:t>
                  </w:r>
                </w:p>
              </w:tc>
              <w:tc>
                <w:tcPr>
                  <w:tcW w:w="1985" w:type="dxa"/>
                  <w:tcBorders>
                    <w:top w:val="nil"/>
                    <w:left w:val="nil"/>
                    <w:bottom w:val="single" w:color="auto" w:sz="4" w:space="0"/>
                    <w:right w:val="single" w:color="auto" w:sz="4" w:space="0"/>
                  </w:tcBorders>
                  <w:noWrap/>
                  <w:vAlign w:val="center"/>
                </w:tcPr>
                <w:p w14:paraId="7845B75D">
                  <w:pPr>
                    <w:widowControl/>
                    <w:jc w:val="center"/>
                    <w:rPr>
                      <w:rFonts w:ascii="仿宋" w:hAnsi="仿宋" w:eastAsia="仿宋" w:cs="Times New Roman"/>
                      <w:kern w:val="0"/>
                      <w:sz w:val="24"/>
                      <w:szCs w:val="24"/>
                    </w:rPr>
                  </w:pPr>
                  <w:r>
                    <w:rPr>
                      <w:rFonts w:hint="eastAsia" w:ascii="仿宋" w:hAnsi="仿宋" w:eastAsia="仿宋"/>
                      <w:kern w:val="0"/>
                      <w:sz w:val="24"/>
                      <w:szCs w:val="24"/>
                    </w:rPr>
                    <w:t xml:space="preserve">            65.4</w:t>
                  </w:r>
                </w:p>
              </w:tc>
            </w:tr>
          </w:tbl>
          <w:p w14:paraId="6EA64D13">
            <w:pPr>
              <w:widowControl/>
              <w:jc w:val="left"/>
              <w:rPr>
                <w:rFonts w:ascii="仿宋" w:hAnsi="仿宋" w:eastAsia="仿宋" w:cs="Times New Roman"/>
                <w:kern w:val="0"/>
                <w:sz w:val="24"/>
                <w:szCs w:val="24"/>
              </w:rPr>
            </w:pPr>
          </w:p>
        </w:tc>
      </w:tr>
      <w:tr w14:paraId="44BFF6D4">
        <w:tblPrEx>
          <w:tblCellMar>
            <w:top w:w="0" w:type="dxa"/>
            <w:left w:w="108" w:type="dxa"/>
            <w:bottom w:w="0" w:type="dxa"/>
            <w:right w:w="108" w:type="dxa"/>
          </w:tblCellMar>
        </w:tblPrEx>
        <w:trPr>
          <w:gridAfter w:val="7"/>
          <w:wAfter w:w="2314" w:type="dxa"/>
          <w:trHeight w:val="285" w:hRule="atLeast"/>
        </w:trPr>
        <w:tc>
          <w:tcPr>
            <w:tcW w:w="10564" w:type="dxa"/>
            <w:gridSpan w:val="6"/>
            <w:tcBorders>
              <w:top w:val="nil"/>
              <w:left w:val="nil"/>
              <w:bottom w:val="nil"/>
              <w:right w:val="nil"/>
            </w:tcBorders>
          </w:tcPr>
          <w:p w14:paraId="612962ED">
            <w:pPr>
              <w:widowControl/>
              <w:jc w:val="left"/>
              <w:rPr>
                <w:rFonts w:ascii="仿宋" w:hAnsi="仿宋" w:eastAsia="仿宋"/>
                <w:kern w:val="0"/>
                <w:sz w:val="24"/>
                <w:szCs w:val="24"/>
              </w:rPr>
            </w:pPr>
          </w:p>
          <w:p w14:paraId="45DD7CCA">
            <w:pPr>
              <w:widowControl/>
              <w:jc w:val="left"/>
              <w:rPr>
                <w:rFonts w:ascii="仿宋" w:hAnsi="仿宋" w:eastAsia="仿宋"/>
                <w:kern w:val="0"/>
                <w:sz w:val="24"/>
                <w:szCs w:val="24"/>
              </w:rPr>
            </w:pPr>
          </w:p>
          <w:p w14:paraId="2FAB819E">
            <w:pPr>
              <w:widowControl/>
              <w:jc w:val="left"/>
              <w:rPr>
                <w:rFonts w:ascii="仿宋" w:hAnsi="仿宋" w:eastAsia="仿宋"/>
                <w:kern w:val="0"/>
                <w:sz w:val="24"/>
                <w:szCs w:val="24"/>
              </w:rPr>
            </w:pPr>
            <w:r>
              <w:rPr>
                <w:rFonts w:hint="eastAsia" w:ascii="仿宋" w:hAnsi="仿宋" w:eastAsia="仿宋"/>
                <w:kern w:val="0"/>
                <w:sz w:val="24"/>
                <w:szCs w:val="24"/>
              </w:rPr>
              <w:t>项目概况：</w:t>
            </w:r>
          </w:p>
        </w:tc>
      </w:tr>
      <w:tr w14:paraId="1BDAC48A">
        <w:tblPrEx>
          <w:tblCellMar>
            <w:top w:w="0" w:type="dxa"/>
            <w:left w:w="108" w:type="dxa"/>
            <w:bottom w:w="0" w:type="dxa"/>
            <w:right w:w="108" w:type="dxa"/>
          </w:tblCellMar>
        </w:tblPrEx>
        <w:trPr>
          <w:gridAfter w:val="7"/>
          <w:wAfter w:w="2314" w:type="dxa"/>
          <w:trHeight w:val="855" w:hRule="atLeast"/>
        </w:trPr>
        <w:tc>
          <w:tcPr>
            <w:tcW w:w="10564" w:type="dxa"/>
            <w:gridSpan w:val="6"/>
            <w:tcBorders>
              <w:top w:val="nil"/>
              <w:left w:val="nil"/>
              <w:bottom w:val="nil"/>
              <w:right w:val="nil"/>
            </w:tcBorders>
          </w:tcPr>
          <w:p w14:paraId="1C11BD70">
            <w:pPr>
              <w:rPr>
                <w:rFonts w:ascii="仿宋" w:hAnsi="仿宋" w:eastAsia="仿宋"/>
                <w:kern w:val="0"/>
                <w:sz w:val="24"/>
                <w:szCs w:val="24"/>
              </w:rPr>
            </w:pPr>
            <w:r>
              <w:rPr>
                <w:rFonts w:hint="eastAsia" w:ascii="仿宋" w:hAnsi="仿宋" w:eastAsia="仿宋"/>
                <w:kern w:val="0"/>
                <w:sz w:val="24"/>
                <w:szCs w:val="24"/>
              </w:rPr>
              <w:t>1、本次对2025年政府还贷二级公路取消收费后补助资金项目（普通国省道公路路面养护工程）的设计服务进行询价采购，分为2个标段，各标包含项目情况详见附表。</w:t>
            </w:r>
          </w:p>
        </w:tc>
      </w:tr>
      <w:tr w14:paraId="51495517">
        <w:tblPrEx>
          <w:tblCellMar>
            <w:top w:w="0" w:type="dxa"/>
            <w:left w:w="108" w:type="dxa"/>
            <w:bottom w:w="0" w:type="dxa"/>
            <w:right w:w="108" w:type="dxa"/>
          </w:tblCellMar>
        </w:tblPrEx>
        <w:trPr>
          <w:gridAfter w:val="7"/>
          <w:wAfter w:w="2314" w:type="dxa"/>
          <w:trHeight w:val="1080" w:hRule="atLeast"/>
        </w:trPr>
        <w:tc>
          <w:tcPr>
            <w:tcW w:w="10564" w:type="dxa"/>
            <w:gridSpan w:val="6"/>
            <w:tcBorders>
              <w:top w:val="nil"/>
              <w:left w:val="nil"/>
              <w:bottom w:val="nil"/>
              <w:right w:val="nil"/>
            </w:tcBorders>
          </w:tcPr>
          <w:p w14:paraId="3C8F7E28">
            <w:pPr>
              <w:rPr>
                <w:rFonts w:ascii="仿宋" w:hAnsi="仿宋" w:eastAsia="仿宋"/>
                <w:kern w:val="0"/>
                <w:sz w:val="24"/>
                <w:szCs w:val="24"/>
              </w:rPr>
            </w:pPr>
            <w:r>
              <w:rPr>
                <w:rFonts w:hint="eastAsia" w:ascii="仿宋" w:hAnsi="仿宋" w:eastAsia="仿宋"/>
                <w:kern w:val="0"/>
                <w:sz w:val="24"/>
                <w:szCs w:val="24"/>
              </w:rPr>
              <w:t>2.按照现行公路设计规范标准进行设计服务。</w:t>
            </w:r>
          </w:p>
          <w:p w14:paraId="0CF8F0B9">
            <w:pPr>
              <w:rPr>
                <w:rFonts w:ascii="仿宋" w:hAnsi="仿宋" w:eastAsia="仿宋"/>
                <w:kern w:val="0"/>
                <w:sz w:val="24"/>
                <w:szCs w:val="24"/>
              </w:rPr>
            </w:pPr>
            <w:r>
              <w:rPr>
                <w:rFonts w:hint="eastAsia" w:ascii="仿宋" w:hAnsi="仿宋" w:eastAsia="仿宋"/>
                <w:kern w:val="0"/>
                <w:sz w:val="24"/>
                <w:szCs w:val="24"/>
              </w:rPr>
              <w:t>3.对路面原有病害进行调查分析出具分析报告，至少提出两种养护工程设计比选方案，并出具施工交通组织保障方案；施工图设计文件满足公路水泥混凝土路面设计规范或公路沥青路面设计规范要求。</w:t>
            </w:r>
          </w:p>
        </w:tc>
      </w:tr>
      <w:tr w14:paraId="174E8758">
        <w:tblPrEx>
          <w:tblCellMar>
            <w:top w:w="0" w:type="dxa"/>
            <w:left w:w="108" w:type="dxa"/>
            <w:bottom w:w="0" w:type="dxa"/>
            <w:right w:w="108" w:type="dxa"/>
          </w:tblCellMar>
        </w:tblPrEx>
        <w:trPr>
          <w:gridAfter w:val="7"/>
          <w:wAfter w:w="2314" w:type="dxa"/>
          <w:trHeight w:val="4050" w:hRule="atLeast"/>
        </w:trPr>
        <w:tc>
          <w:tcPr>
            <w:tcW w:w="10564" w:type="dxa"/>
            <w:gridSpan w:val="6"/>
            <w:tcBorders>
              <w:top w:val="nil"/>
              <w:left w:val="nil"/>
              <w:bottom w:val="nil"/>
              <w:right w:val="nil"/>
            </w:tcBorders>
          </w:tcPr>
          <w:p w14:paraId="4FDFF04B">
            <w:pPr>
              <w:widowControl/>
              <w:jc w:val="left"/>
              <w:rPr>
                <w:rFonts w:ascii="仿宋" w:hAnsi="仿宋" w:eastAsia="仿宋" w:cs="Times New Roman"/>
                <w:kern w:val="0"/>
                <w:sz w:val="24"/>
                <w:szCs w:val="24"/>
              </w:rPr>
            </w:pPr>
            <w:r>
              <w:rPr>
                <w:rFonts w:hint="eastAsia" w:ascii="仿宋" w:hAnsi="仿宋" w:eastAsia="仿宋"/>
                <w:kern w:val="0"/>
                <w:sz w:val="24"/>
                <w:szCs w:val="24"/>
              </w:rPr>
              <w:t>（二）供应商资格要求：</w:t>
            </w:r>
            <w:r>
              <w:rPr>
                <w:rFonts w:hint="eastAsia" w:ascii="仿宋" w:hAnsi="仿宋" w:eastAsia="仿宋" w:cs="Times New Roman"/>
                <w:kern w:val="0"/>
                <w:sz w:val="24"/>
                <w:szCs w:val="24"/>
              </w:rPr>
              <w:br w:type="textWrapping"/>
            </w:r>
            <w:r>
              <w:rPr>
                <w:rFonts w:hint="eastAsia" w:ascii="仿宋" w:hAnsi="仿宋" w:eastAsia="仿宋"/>
                <w:kern w:val="0"/>
                <w:sz w:val="24"/>
                <w:szCs w:val="24"/>
              </w:rPr>
              <w:t>1、符合《中华人民共和国政府采购法》第二十二条规定;</w:t>
            </w:r>
            <w:r>
              <w:rPr>
                <w:rFonts w:hint="eastAsia" w:ascii="仿宋" w:hAnsi="仿宋" w:eastAsia="仿宋"/>
                <w:kern w:val="0"/>
                <w:sz w:val="24"/>
                <w:szCs w:val="24"/>
              </w:rPr>
              <w:br w:type="textWrapping"/>
            </w:r>
            <w:r>
              <w:rPr>
                <w:rFonts w:hint="eastAsia" w:ascii="仿宋" w:hAnsi="仿宋" w:eastAsia="仿宋"/>
                <w:kern w:val="0"/>
                <w:sz w:val="24"/>
                <w:szCs w:val="24"/>
              </w:rPr>
              <w:t>2、国内注册(指按国家有关规定要求注册)具有独立承担民事责任能力的供应商;</w:t>
            </w:r>
            <w:r>
              <w:rPr>
                <w:rFonts w:hint="eastAsia" w:ascii="仿宋" w:hAnsi="仿宋" w:eastAsia="仿宋"/>
                <w:kern w:val="0"/>
                <w:sz w:val="24"/>
                <w:szCs w:val="24"/>
              </w:rPr>
              <w:br w:type="textWrapping"/>
            </w:r>
            <w:r>
              <w:rPr>
                <w:rFonts w:hint="eastAsia" w:ascii="仿宋" w:hAnsi="仿宋" w:eastAsia="仿宋"/>
                <w:kern w:val="0"/>
                <w:sz w:val="24"/>
                <w:szCs w:val="24"/>
              </w:rPr>
              <w:t>3、根据《财政部关于在政府采购活动中查询及使用信用记录有关问题的通知》(财库[2016]125号)规定，供应商不得为被“列入失信被执行人”、“重大税收违法案件当事人名单”、“政府采购严重违法失信行为记录名单”及其他不符合《中华人民共和国政府采购法》第二十二条规定条件的供应商。</w:t>
            </w:r>
            <w:r>
              <w:rPr>
                <w:rFonts w:hint="eastAsia" w:ascii="仿宋" w:hAnsi="仿宋" w:eastAsia="仿宋" w:cs="Times New Roman"/>
                <w:kern w:val="0"/>
                <w:sz w:val="24"/>
                <w:szCs w:val="24"/>
              </w:rPr>
              <w:br w:type="textWrapping"/>
            </w:r>
            <w:r>
              <w:rPr>
                <w:rFonts w:hint="eastAsia" w:ascii="仿宋" w:hAnsi="仿宋" w:eastAsia="仿宋"/>
                <w:kern w:val="0"/>
                <w:sz w:val="24"/>
                <w:szCs w:val="24"/>
              </w:rPr>
              <w:t>4、本次询价不接受联合体报价。</w:t>
            </w:r>
            <w:r>
              <w:rPr>
                <w:rFonts w:hint="eastAsia" w:ascii="仿宋" w:hAnsi="仿宋" w:eastAsia="仿宋" w:cs="Times New Roman"/>
                <w:kern w:val="0"/>
                <w:sz w:val="24"/>
                <w:szCs w:val="24"/>
              </w:rPr>
              <w:br w:type="textWrapping"/>
            </w:r>
            <w:r>
              <w:rPr>
                <w:rFonts w:hint="eastAsia" w:ascii="仿宋" w:hAnsi="仿宋" w:eastAsia="仿宋"/>
                <w:kern w:val="0"/>
                <w:sz w:val="24"/>
                <w:szCs w:val="24"/>
              </w:rPr>
              <w:t>5、单位负责人为同一人或者存在直接控股、管理关系的不同供应商，不得参加同一项目的采购活动。</w:t>
            </w:r>
            <w:r>
              <w:rPr>
                <w:rFonts w:hint="eastAsia" w:ascii="仿宋" w:hAnsi="仿宋" w:eastAsia="仿宋" w:cs="Times New Roman"/>
                <w:kern w:val="0"/>
                <w:sz w:val="24"/>
                <w:szCs w:val="24"/>
              </w:rPr>
              <w:br w:type="textWrapping"/>
            </w:r>
            <w:r>
              <w:rPr>
                <w:rFonts w:hint="eastAsia" w:ascii="仿宋" w:hAnsi="仿宋" w:eastAsia="仿宋"/>
                <w:kern w:val="0"/>
                <w:sz w:val="24"/>
                <w:szCs w:val="24"/>
              </w:rPr>
              <w:t>6、对在“信用中国”网站(www.creditchina.gov.cn)、中国政府采购网(www.ccgp.gov.cn)等渠道列入失信被执行人、重大税收违法案件当事人名单、政府采购严重违法失信行为记录名单及其他不符合《中华人民共和国政府采购法》第二十二条规定条件的供应商，不得参与采购活动。</w:t>
            </w:r>
            <w:r>
              <w:rPr>
                <w:rFonts w:hint="eastAsia" w:ascii="仿宋" w:hAnsi="仿宋" w:eastAsia="仿宋" w:cs="Times New Roman"/>
                <w:kern w:val="0"/>
                <w:sz w:val="24"/>
                <w:szCs w:val="24"/>
              </w:rPr>
              <w:br w:type="textWrapping"/>
            </w:r>
            <w:r>
              <w:rPr>
                <w:rFonts w:hint="eastAsia" w:ascii="仿宋" w:hAnsi="仿宋" w:eastAsia="仿宋"/>
                <w:kern w:val="0"/>
                <w:sz w:val="24"/>
                <w:szCs w:val="24"/>
              </w:rPr>
              <w:t>7、在自治区本级或采购项目属地政府采购网公布的注册供应商方可报名。</w:t>
            </w:r>
            <w:r>
              <w:rPr>
                <w:rFonts w:hint="eastAsia" w:ascii="仿宋" w:hAnsi="仿宋" w:eastAsia="仿宋" w:cs="Times New Roman"/>
                <w:kern w:val="0"/>
                <w:sz w:val="24"/>
                <w:szCs w:val="24"/>
              </w:rPr>
              <w:br w:type="textWrapping"/>
            </w:r>
            <w:r>
              <w:rPr>
                <w:rFonts w:hint="eastAsia" w:ascii="仿宋" w:hAnsi="仿宋" w:eastAsia="仿宋"/>
                <w:kern w:val="0"/>
                <w:sz w:val="24"/>
                <w:szCs w:val="24"/>
              </w:rPr>
              <w:t>8、资质、业绩与人员要求：</w:t>
            </w:r>
          </w:p>
        </w:tc>
      </w:tr>
      <w:tr w14:paraId="29FE07B6">
        <w:tblPrEx>
          <w:tblCellMar>
            <w:top w:w="0" w:type="dxa"/>
            <w:left w:w="108" w:type="dxa"/>
            <w:bottom w:w="0" w:type="dxa"/>
            <w:right w:w="108" w:type="dxa"/>
          </w:tblCellMar>
        </w:tblPrEx>
        <w:trPr>
          <w:gridAfter w:val="7"/>
          <w:wAfter w:w="2314" w:type="dxa"/>
          <w:trHeight w:val="735" w:hRule="atLeast"/>
        </w:trPr>
        <w:tc>
          <w:tcPr>
            <w:tcW w:w="1417" w:type="dxa"/>
            <w:tcBorders>
              <w:top w:val="single" w:color="auto" w:sz="4" w:space="0"/>
              <w:left w:val="single" w:color="auto" w:sz="4" w:space="0"/>
              <w:bottom w:val="single" w:color="auto" w:sz="4" w:space="0"/>
              <w:right w:val="single" w:color="auto" w:sz="4" w:space="0"/>
            </w:tcBorders>
            <w:noWrap/>
            <w:vAlign w:val="center"/>
          </w:tcPr>
          <w:p w14:paraId="295C57BC">
            <w:pPr>
              <w:widowControl/>
              <w:jc w:val="left"/>
              <w:rPr>
                <w:rFonts w:ascii="仿宋" w:hAnsi="仿宋" w:eastAsia="仿宋" w:cs="Times New Roman"/>
                <w:kern w:val="0"/>
                <w:sz w:val="24"/>
                <w:szCs w:val="24"/>
              </w:rPr>
            </w:pPr>
            <w:r>
              <w:rPr>
                <w:rFonts w:hint="eastAsia" w:ascii="仿宋" w:hAnsi="仿宋" w:eastAsia="仿宋"/>
                <w:kern w:val="0"/>
                <w:sz w:val="24"/>
                <w:szCs w:val="24"/>
              </w:rPr>
              <w:t>序号</w:t>
            </w:r>
          </w:p>
        </w:tc>
        <w:tc>
          <w:tcPr>
            <w:tcW w:w="1351" w:type="dxa"/>
            <w:tcBorders>
              <w:top w:val="single" w:color="auto" w:sz="4" w:space="0"/>
              <w:left w:val="nil"/>
              <w:bottom w:val="single" w:color="auto" w:sz="4" w:space="0"/>
              <w:right w:val="single" w:color="auto" w:sz="4" w:space="0"/>
            </w:tcBorders>
            <w:noWrap/>
            <w:vAlign w:val="center"/>
          </w:tcPr>
          <w:p w14:paraId="39FA0908">
            <w:pPr>
              <w:widowControl/>
              <w:jc w:val="left"/>
              <w:rPr>
                <w:rFonts w:ascii="仿宋" w:hAnsi="仿宋" w:eastAsia="仿宋" w:cs="Times New Roman"/>
                <w:kern w:val="0"/>
                <w:sz w:val="24"/>
                <w:szCs w:val="24"/>
              </w:rPr>
            </w:pPr>
            <w:r>
              <w:rPr>
                <w:rFonts w:hint="eastAsia" w:ascii="仿宋" w:hAnsi="仿宋" w:eastAsia="仿宋"/>
                <w:kern w:val="0"/>
                <w:sz w:val="24"/>
                <w:szCs w:val="24"/>
              </w:rPr>
              <w:t>标段名称</w:t>
            </w:r>
          </w:p>
        </w:tc>
        <w:tc>
          <w:tcPr>
            <w:tcW w:w="3683" w:type="dxa"/>
            <w:gridSpan w:val="2"/>
            <w:tcBorders>
              <w:top w:val="single" w:color="auto" w:sz="4" w:space="0"/>
              <w:left w:val="nil"/>
              <w:bottom w:val="single" w:color="auto" w:sz="4" w:space="0"/>
              <w:right w:val="single" w:color="auto" w:sz="4" w:space="0"/>
            </w:tcBorders>
            <w:vAlign w:val="center"/>
          </w:tcPr>
          <w:p w14:paraId="67ED3B49">
            <w:pPr>
              <w:widowControl/>
              <w:jc w:val="left"/>
              <w:rPr>
                <w:rFonts w:ascii="仿宋" w:hAnsi="仿宋" w:eastAsia="仿宋" w:cs="Times New Roman"/>
                <w:kern w:val="0"/>
                <w:sz w:val="24"/>
                <w:szCs w:val="24"/>
              </w:rPr>
            </w:pPr>
            <w:r>
              <w:rPr>
                <w:rFonts w:hint="eastAsia" w:ascii="仿宋" w:hAnsi="仿宋" w:eastAsia="仿宋"/>
                <w:kern w:val="0"/>
                <w:sz w:val="24"/>
                <w:szCs w:val="24"/>
              </w:rPr>
              <w:t>资质要求</w:t>
            </w:r>
          </w:p>
        </w:tc>
        <w:tc>
          <w:tcPr>
            <w:tcW w:w="4113" w:type="dxa"/>
            <w:gridSpan w:val="2"/>
            <w:tcBorders>
              <w:top w:val="single" w:color="auto" w:sz="4" w:space="0"/>
              <w:left w:val="nil"/>
              <w:bottom w:val="single" w:color="auto" w:sz="4" w:space="0"/>
              <w:right w:val="single" w:color="auto" w:sz="4" w:space="0"/>
            </w:tcBorders>
            <w:noWrap/>
            <w:vAlign w:val="center"/>
          </w:tcPr>
          <w:p w14:paraId="5D51692D">
            <w:pPr>
              <w:widowControl/>
              <w:jc w:val="center"/>
              <w:rPr>
                <w:rFonts w:ascii="仿宋" w:hAnsi="仿宋" w:eastAsia="仿宋" w:cs="Times New Roman"/>
                <w:kern w:val="0"/>
                <w:sz w:val="24"/>
                <w:szCs w:val="24"/>
              </w:rPr>
            </w:pPr>
            <w:r>
              <w:rPr>
                <w:rFonts w:hint="eastAsia" w:ascii="仿宋" w:hAnsi="仿宋" w:eastAsia="仿宋"/>
                <w:kern w:val="0"/>
                <w:sz w:val="24"/>
                <w:szCs w:val="24"/>
              </w:rPr>
              <w:t>业绩要求</w:t>
            </w:r>
          </w:p>
        </w:tc>
      </w:tr>
      <w:tr w14:paraId="5A3D923D">
        <w:tblPrEx>
          <w:tblCellMar>
            <w:top w:w="0" w:type="dxa"/>
            <w:left w:w="108" w:type="dxa"/>
            <w:bottom w:w="0" w:type="dxa"/>
            <w:right w:w="108" w:type="dxa"/>
          </w:tblCellMar>
        </w:tblPrEx>
        <w:trPr>
          <w:gridAfter w:val="4"/>
          <w:wAfter w:w="2080" w:type="dxa"/>
          <w:trHeight w:val="678" w:hRule="atLeast"/>
        </w:trPr>
        <w:tc>
          <w:tcPr>
            <w:tcW w:w="1417" w:type="dxa"/>
            <w:tcBorders>
              <w:top w:val="single" w:color="auto" w:sz="4" w:space="0"/>
              <w:left w:val="single" w:color="auto" w:sz="4" w:space="0"/>
              <w:bottom w:val="single" w:color="auto" w:sz="4" w:space="0"/>
              <w:right w:val="single" w:color="auto" w:sz="4" w:space="0"/>
            </w:tcBorders>
            <w:noWrap/>
            <w:vAlign w:val="center"/>
          </w:tcPr>
          <w:p w14:paraId="72F6AE07">
            <w:pPr>
              <w:widowControl/>
              <w:jc w:val="left"/>
              <w:rPr>
                <w:rFonts w:ascii="仿宋" w:hAnsi="仿宋" w:eastAsia="仿宋"/>
                <w:kern w:val="0"/>
                <w:sz w:val="24"/>
                <w:szCs w:val="24"/>
              </w:rPr>
            </w:pPr>
            <w:r>
              <w:rPr>
                <w:rFonts w:hint="eastAsia" w:ascii="仿宋" w:hAnsi="仿宋" w:eastAsia="仿宋"/>
                <w:kern w:val="0"/>
                <w:sz w:val="24"/>
                <w:szCs w:val="24"/>
              </w:rPr>
              <w:t>1</w:t>
            </w:r>
          </w:p>
        </w:tc>
        <w:tc>
          <w:tcPr>
            <w:tcW w:w="1351" w:type="dxa"/>
            <w:tcBorders>
              <w:top w:val="single" w:color="auto" w:sz="4" w:space="0"/>
              <w:left w:val="nil"/>
              <w:bottom w:val="single" w:color="auto" w:sz="4" w:space="0"/>
              <w:right w:val="single" w:color="auto" w:sz="4" w:space="0"/>
            </w:tcBorders>
            <w:vAlign w:val="center"/>
          </w:tcPr>
          <w:p w14:paraId="31823F51">
            <w:pPr>
              <w:widowControl/>
              <w:jc w:val="left"/>
              <w:rPr>
                <w:rFonts w:ascii="仿宋" w:hAnsi="仿宋" w:eastAsia="仿宋"/>
                <w:kern w:val="0"/>
                <w:sz w:val="24"/>
                <w:szCs w:val="24"/>
              </w:rPr>
            </w:pPr>
            <w:r>
              <w:rPr>
                <w:rFonts w:hint="eastAsia" w:ascii="仿宋" w:hAnsi="仿宋" w:eastAsia="仿宋"/>
                <w:kern w:val="0"/>
                <w:sz w:val="24"/>
                <w:szCs w:val="24"/>
              </w:rPr>
              <w:t>NO.A</w:t>
            </w:r>
          </w:p>
        </w:tc>
        <w:tc>
          <w:tcPr>
            <w:tcW w:w="3683" w:type="dxa"/>
            <w:gridSpan w:val="2"/>
            <w:vMerge w:val="restart"/>
            <w:tcBorders>
              <w:top w:val="nil"/>
              <w:left w:val="nil"/>
              <w:bottom w:val="single" w:color="auto" w:sz="4" w:space="0"/>
              <w:right w:val="single" w:color="auto" w:sz="4" w:space="0"/>
            </w:tcBorders>
            <w:vAlign w:val="center"/>
          </w:tcPr>
          <w:p w14:paraId="47552F68">
            <w:pPr>
              <w:widowControl/>
              <w:jc w:val="left"/>
              <w:rPr>
                <w:rFonts w:ascii="仿宋" w:hAnsi="仿宋" w:eastAsia="仿宋" w:cs="Times New Roman"/>
                <w:kern w:val="0"/>
                <w:sz w:val="24"/>
                <w:szCs w:val="24"/>
              </w:rPr>
            </w:pPr>
            <w:r>
              <w:rPr>
                <w:rFonts w:hint="eastAsia" w:ascii="仿宋" w:hAnsi="仿宋" w:eastAsia="仿宋"/>
                <w:kern w:val="0"/>
                <w:sz w:val="24"/>
                <w:szCs w:val="24"/>
              </w:rPr>
              <w:t>具备工程设计公路行业（公路）专业乙级以上(含乙级)资质，并在人员、设备、资金等方面具有承担本项目设计的能力。</w:t>
            </w:r>
          </w:p>
        </w:tc>
        <w:tc>
          <w:tcPr>
            <w:tcW w:w="4113" w:type="dxa"/>
            <w:gridSpan w:val="2"/>
            <w:vMerge w:val="restart"/>
            <w:tcBorders>
              <w:top w:val="nil"/>
              <w:left w:val="nil"/>
              <w:bottom w:val="single" w:color="auto" w:sz="4" w:space="0"/>
              <w:right w:val="single" w:color="auto" w:sz="4" w:space="0"/>
            </w:tcBorders>
            <w:vAlign w:val="center"/>
          </w:tcPr>
          <w:p w14:paraId="19EC1EF9">
            <w:pPr>
              <w:widowControl/>
              <w:jc w:val="left"/>
              <w:rPr>
                <w:rFonts w:ascii="仿宋" w:hAnsi="仿宋" w:eastAsia="仿宋" w:cs="Times New Roman"/>
                <w:kern w:val="0"/>
                <w:sz w:val="24"/>
                <w:szCs w:val="24"/>
              </w:rPr>
            </w:pPr>
            <w:r>
              <w:rPr>
                <w:rFonts w:hint="eastAsia" w:ascii="仿宋" w:hAnsi="仿宋" w:eastAsia="仿宋"/>
                <w:kern w:val="0"/>
                <w:sz w:val="24"/>
                <w:szCs w:val="24"/>
              </w:rPr>
              <w:t>要求自2019年11月1日以来至少完成或承接过1个三级及以上等级公路含有路面和交通安全设施设计的项目业绩，并提交相关设计合同或中标通知书复印件或扫描件等证明文件。</w:t>
            </w:r>
          </w:p>
        </w:tc>
        <w:tc>
          <w:tcPr>
            <w:tcW w:w="234" w:type="dxa"/>
            <w:gridSpan w:val="3"/>
            <w:tcBorders>
              <w:top w:val="nil"/>
              <w:left w:val="nil"/>
              <w:bottom w:val="nil"/>
              <w:right w:val="nil"/>
            </w:tcBorders>
            <w:vAlign w:val="center"/>
          </w:tcPr>
          <w:p w14:paraId="429BC2F0">
            <w:pPr>
              <w:widowControl/>
              <w:jc w:val="left"/>
              <w:rPr>
                <w:rFonts w:ascii="仿宋" w:hAnsi="仿宋" w:eastAsia="仿宋" w:cs="Times New Roman"/>
                <w:kern w:val="0"/>
                <w:sz w:val="24"/>
                <w:szCs w:val="24"/>
              </w:rPr>
            </w:pPr>
          </w:p>
        </w:tc>
      </w:tr>
      <w:tr w14:paraId="28A51112">
        <w:tblPrEx>
          <w:tblCellMar>
            <w:top w:w="0" w:type="dxa"/>
            <w:left w:w="108" w:type="dxa"/>
            <w:bottom w:w="0" w:type="dxa"/>
            <w:right w:w="108" w:type="dxa"/>
          </w:tblCellMar>
        </w:tblPrEx>
        <w:trPr>
          <w:gridAfter w:val="4"/>
          <w:wAfter w:w="2080" w:type="dxa"/>
          <w:trHeight w:val="735" w:hRule="atLeast"/>
        </w:trPr>
        <w:tc>
          <w:tcPr>
            <w:tcW w:w="1417" w:type="dxa"/>
            <w:tcBorders>
              <w:top w:val="nil"/>
              <w:left w:val="single" w:color="auto" w:sz="4" w:space="0"/>
              <w:bottom w:val="single" w:color="auto" w:sz="4" w:space="0"/>
              <w:right w:val="single" w:color="auto" w:sz="4" w:space="0"/>
            </w:tcBorders>
            <w:noWrap/>
            <w:vAlign w:val="center"/>
          </w:tcPr>
          <w:p w14:paraId="40E1C3BD">
            <w:pPr>
              <w:widowControl/>
              <w:jc w:val="left"/>
              <w:rPr>
                <w:rFonts w:ascii="仿宋" w:hAnsi="仿宋" w:eastAsia="仿宋"/>
                <w:kern w:val="0"/>
                <w:sz w:val="24"/>
                <w:szCs w:val="24"/>
              </w:rPr>
            </w:pPr>
            <w:r>
              <w:rPr>
                <w:rFonts w:hint="eastAsia" w:ascii="仿宋" w:hAnsi="仿宋" w:eastAsia="仿宋"/>
                <w:kern w:val="0"/>
                <w:sz w:val="24"/>
                <w:szCs w:val="24"/>
              </w:rPr>
              <w:t>2</w:t>
            </w:r>
          </w:p>
        </w:tc>
        <w:tc>
          <w:tcPr>
            <w:tcW w:w="1351" w:type="dxa"/>
            <w:tcBorders>
              <w:top w:val="nil"/>
              <w:left w:val="nil"/>
              <w:bottom w:val="single" w:color="auto" w:sz="4" w:space="0"/>
              <w:right w:val="single" w:color="auto" w:sz="4" w:space="0"/>
            </w:tcBorders>
            <w:vAlign w:val="center"/>
          </w:tcPr>
          <w:p w14:paraId="5047CE1D">
            <w:pPr>
              <w:widowControl/>
              <w:jc w:val="left"/>
              <w:rPr>
                <w:rFonts w:ascii="仿宋" w:hAnsi="仿宋" w:eastAsia="仿宋"/>
                <w:kern w:val="0"/>
                <w:sz w:val="24"/>
                <w:szCs w:val="24"/>
              </w:rPr>
            </w:pPr>
            <w:r>
              <w:rPr>
                <w:rFonts w:hint="eastAsia" w:ascii="仿宋" w:hAnsi="仿宋" w:eastAsia="仿宋"/>
                <w:kern w:val="0"/>
                <w:sz w:val="24"/>
                <w:szCs w:val="24"/>
              </w:rPr>
              <w:t>NO.B</w:t>
            </w:r>
          </w:p>
        </w:tc>
        <w:tc>
          <w:tcPr>
            <w:tcW w:w="3683" w:type="dxa"/>
            <w:gridSpan w:val="2"/>
            <w:vMerge w:val="continue"/>
            <w:tcBorders>
              <w:top w:val="nil"/>
              <w:left w:val="nil"/>
              <w:bottom w:val="single" w:color="auto" w:sz="4" w:space="0"/>
              <w:right w:val="single" w:color="auto" w:sz="4" w:space="0"/>
            </w:tcBorders>
            <w:vAlign w:val="center"/>
          </w:tcPr>
          <w:p w14:paraId="14A31EB0">
            <w:pPr>
              <w:widowControl/>
              <w:jc w:val="left"/>
              <w:rPr>
                <w:rFonts w:ascii="仿宋" w:hAnsi="仿宋" w:eastAsia="仿宋" w:cs="Times New Roman"/>
                <w:kern w:val="0"/>
                <w:sz w:val="24"/>
                <w:szCs w:val="24"/>
              </w:rPr>
            </w:pPr>
          </w:p>
        </w:tc>
        <w:tc>
          <w:tcPr>
            <w:tcW w:w="4113" w:type="dxa"/>
            <w:gridSpan w:val="2"/>
            <w:vMerge w:val="continue"/>
            <w:tcBorders>
              <w:top w:val="nil"/>
              <w:left w:val="nil"/>
              <w:bottom w:val="single" w:color="auto" w:sz="4" w:space="0"/>
              <w:right w:val="single" w:color="auto" w:sz="4" w:space="0"/>
            </w:tcBorders>
            <w:vAlign w:val="center"/>
          </w:tcPr>
          <w:p w14:paraId="4ECE3E33">
            <w:pPr>
              <w:widowControl/>
              <w:jc w:val="left"/>
              <w:rPr>
                <w:rFonts w:ascii="仿宋" w:hAnsi="仿宋" w:eastAsia="仿宋" w:cs="Times New Roman"/>
                <w:kern w:val="0"/>
                <w:sz w:val="24"/>
                <w:szCs w:val="24"/>
              </w:rPr>
            </w:pPr>
          </w:p>
        </w:tc>
        <w:tc>
          <w:tcPr>
            <w:tcW w:w="234" w:type="dxa"/>
            <w:gridSpan w:val="3"/>
            <w:tcBorders>
              <w:top w:val="nil"/>
              <w:left w:val="nil"/>
              <w:bottom w:val="nil"/>
              <w:right w:val="nil"/>
            </w:tcBorders>
            <w:vAlign w:val="center"/>
          </w:tcPr>
          <w:p w14:paraId="05F5EE4A">
            <w:pPr>
              <w:widowControl/>
              <w:jc w:val="left"/>
              <w:rPr>
                <w:rFonts w:ascii="仿宋" w:hAnsi="仿宋" w:eastAsia="仿宋" w:cs="Times New Roman"/>
                <w:kern w:val="0"/>
                <w:sz w:val="24"/>
                <w:szCs w:val="24"/>
              </w:rPr>
            </w:pPr>
          </w:p>
        </w:tc>
      </w:tr>
      <w:tr w14:paraId="6AE40995">
        <w:tblPrEx>
          <w:tblCellMar>
            <w:top w:w="0" w:type="dxa"/>
            <w:left w:w="108" w:type="dxa"/>
            <w:bottom w:w="0" w:type="dxa"/>
            <w:right w:w="108" w:type="dxa"/>
          </w:tblCellMar>
        </w:tblPrEx>
        <w:trPr>
          <w:gridAfter w:val="7"/>
          <w:wAfter w:w="2314" w:type="dxa"/>
          <w:trHeight w:val="2565" w:hRule="atLeast"/>
        </w:trPr>
        <w:tc>
          <w:tcPr>
            <w:tcW w:w="10564" w:type="dxa"/>
            <w:gridSpan w:val="6"/>
            <w:tcBorders>
              <w:top w:val="nil"/>
              <w:left w:val="nil"/>
              <w:bottom w:val="nil"/>
              <w:right w:val="nil"/>
            </w:tcBorders>
          </w:tcPr>
          <w:p w14:paraId="6EE9168E">
            <w:pPr>
              <w:widowControl/>
              <w:jc w:val="left"/>
              <w:rPr>
                <w:rFonts w:ascii="仿宋" w:hAnsi="仿宋" w:eastAsia="仿宋" w:cs="Times New Roman"/>
                <w:kern w:val="0"/>
                <w:sz w:val="24"/>
                <w:szCs w:val="24"/>
              </w:rPr>
            </w:pPr>
            <w:r>
              <w:rPr>
                <w:rFonts w:hint="eastAsia" w:ascii="仿宋" w:hAnsi="仿宋" w:eastAsia="仿宋"/>
                <w:kern w:val="0"/>
                <w:sz w:val="24"/>
                <w:szCs w:val="24"/>
              </w:rPr>
              <w:t>9、其他要求：同一投标单位可投多个标段,但最多仅允许中1个标段，中标意向遵守报价函规定。</w:t>
            </w:r>
            <w:r>
              <w:rPr>
                <w:rFonts w:hint="eastAsia" w:ascii="仿宋" w:hAnsi="仿宋" w:eastAsia="仿宋" w:cs="Times New Roman"/>
                <w:kern w:val="0"/>
                <w:sz w:val="24"/>
                <w:szCs w:val="24"/>
              </w:rPr>
              <w:br w:type="page"/>
            </w:r>
            <w:r>
              <w:rPr>
                <w:rFonts w:hint="eastAsia" w:ascii="仿宋" w:hAnsi="仿宋" w:eastAsia="仿宋"/>
                <w:kern w:val="0"/>
                <w:sz w:val="24"/>
                <w:szCs w:val="24"/>
              </w:rPr>
              <w:t>中标公司必须配备本公司实际在册人员进场开展工作，否则采购人可以按照信用评价办法对中标公司进行履约评价，评价结果可以作为采购人下次采购服务单位的参考依据，并上报上级主管部门。</w:t>
            </w:r>
            <w:r>
              <w:rPr>
                <w:rFonts w:hint="eastAsia" w:ascii="仿宋" w:hAnsi="仿宋" w:eastAsia="仿宋" w:cs="Times New Roman"/>
                <w:kern w:val="0"/>
                <w:sz w:val="24"/>
                <w:szCs w:val="24"/>
              </w:rPr>
              <w:br w:type="page"/>
            </w:r>
          </w:p>
          <w:p w14:paraId="094E2E81">
            <w:pPr>
              <w:widowControl/>
              <w:jc w:val="left"/>
              <w:rPr>
                <w:rFonts w:ascii="仿宋" w:hAnsi="仿宋" w:eastAsia="仿宋" w:cs="Times New Roman"/>
                <w:kern w:val="0"/>
                <w:sz w:val="24"/>
                <w:szCs w:val="24"/>
              </w:rPr>
            </w:pPr>
            <w:r>
              <w:rPr>
                <w:rFonts w:hint="eastAsia" w:ascii="仿宋" w:hAnsi="仿宋" w:eastAsia="仿宋"/>
                <w:b/>
                <w:kern w:val="0"/>
                <w:sz w:val="24"/>
                <w:szCs w:val="24"/>
              </w:rPr>
              <w:t>三、资金来源：</w:t>
            </w:r>
            <w:r>
              <w:rPr>
                <w:rFonts w:hint="eastAsia" w:ascii="仿宋" w:hAnsi="仿宋" w:eastAsia="仿宋"/>
                <w:kern w:val="0"/>
                <w:sz w:val="24"/>
                <w:szCs w:val="24"/>
              </w:rPr>
              <w:t>《财政部关于提前下达2025年交通运输领域专项资金预算（第一批）的通知》（财建〔2024〕396号）。</w:t>
            </w:r>
            <w:r>
              <w:rPr>
                <w:rFonts w:hint="eastAsia" w:ascii="仿宋" w:hAnsi="仿宋" w:eastAsia="仿宋" w:cs="Times New Roman"/>
                <w:kern w:val="0"/>
                <w:sz w:val="24"/>
                <w:szCs w:val="24"/>
              </w:rPr>
              <w:br w:type="page"/>
            </w:r>
          </w:p>
          <w:p w14:paraId="1E02BBA1">
            <w:pPr>
              <w:widowControl/>
              <w:jc w:val="left"/>
              <w:rPr>
                <w:rFonts w:ascii="仿宋" w:hAnsi="仿宋" w:eastAsia="仿宋" w:cs="Times New Roman"/>
                <w:kern w:val="0"/>
                <w:sz w:val="24"/>
                <w:szCs w:val="24"/>
              </w:rPr>
            </w:pPr>
            <w:r>
              <w:rPr>
                <w:rFonts w:hint="eastAsia" w:ascii="仿宋" w:hAnsi="仿宋" w:eastAsia="仿宋"/>
                <w:b/>
                <w:kern w:val="0"/>
                <w:sz w:val="24"/>
                <w:szCs w:val="24"/>
              </w:rPr>
              <w:t>四、采购公告获取方式及相关要求：</w:t>
            </w:r>
            <w:r>
              <w:rPr>
                <w:rFonts w:hint="eastAsia" w:ascii="仿宋" w:hAnsi="仿宋" w:eastAsia="仿宋"/>
                <w:kern w:val="0"/>
                <w:sz w:val="24"/>
                <w:szCs w:val="24"/>
              </w:rPr>
              <w:t>广西壮族自治区桂中公路发展中心门户网站https://www.gzglfzzx.com/；采购文件售价：0（元）；供应商无需缴纳竞标保证金。</w:t>
            </w:r>
          </w:p>
        </w:tc>
      </w:tr>
      <w:tr w14:paraId="64C63B03">
        <w:tblPrEx>
          <w:tblCellMar>
            <w:top w:w="0" w:type="dxa"/>
            <w:left w:w="108" w:type="dxa"/>
            <w:bottom w:w="0" w:type="dxa"/>
            <w:right w:w="108" w:type="dxa"/>
          </w:tblCellMar>
        </w:tblPrEx>
        <w:trPr>
          <w:gridAfter w:val="7"/>
          <w:wAfter w:w="2314" w:type="dxa"/>
          <w:trHeight w:val="1170" w:hRule="atLeast"/>
        </w:trPr>
        <w:tc>
          <w:tcPr>
            <w:tcW w:w="10564" w:type="dxa"/>
            <w:gridSpan w:val="6"/>
            <w:tcBorders>
              <w:top w:val="nil"/>
              <w:left w:val="nil"/>
              <w:bottom w:val="nil"/>
              <w:right w:val="nil"/>
            </w:tcBorders>
          </w:tcPr>
          <w:p w14:paraId="4E5DB8D1">
            <w:pPr>
              <w:rPr>
                <w:rFonts w:ascii="仿宋" w:hAnsi="仿宋" w:eastAsia="仿宋" w:cs="Times New Roman"/>
                <w:kern w:val="0"/>
                <w:sz w:val="24"/>
                <w:szCs w:val="24"/>
              </w:rPr>
            </w:pPr>
            <w:r>
              <w:rPr>
                <w:rFonts w:hint="eastAsia" w:ascii="仿宋" w:hAnsi="仿宋" w:eastAsia="仿宋"/>
                <w:b/>
                <w:kern w:val="0"/>
                <w:sz w:val="24"/>
                <w:szCs w:val="24"/>
              </w:rPr>
              <w:t>五、控制价上限及报价要求</w:t>
            </w:r>
            <w:r>
              <w:rPr>
                <w:rFonts w:hint="eastAsia" w:ascii="仿宋" w:hAnsi="仿宋" w:eastAsia="仿宋" w:cs="Times New Roman"/>
                <w:b/>
                <w:kern w:val="0"/>
                <w:sz w:val="24"/>
                <w:szCs w:val="24"/>
              </w:rPr>
              <w:br w:type="textWrapping"/>
            </w:r>
            <w:r>
              <w:rPr>
                <w:rFonts w:hint="eastAsia" w:ascii="仿宋" w:hAnsi="仿宋" w:eastAsia="仿宋"/>
                <w:kern w:val="0"/>
                <w:sz w:val="24"/>
                <w:szCs w:val="24"/>
              </w:rPr>
              <w:t xml:space="preserve">  （一）供应商所投各标段的总报价不得超过标段控制价上限，且各分项工程报价均不能超过分项控制价上限，否则报价无效。</w:t>
            </w:r>
            <w:r>
              <w:rPr>
                <w:rFonts w:hint="eastAsia" w:ascii="仿宋" w:hAnsi="仿宋" w:eastAsia="仿宋" w:cs="Times New Roman"/>
                <w:kern w:val="0"/>
                <w:sz w:val="24"/>
                <w:szCs w:val="24"/>
              </w:rPr>
              <w:br w:type="textWrapping"/>
            </w:r>
            <w:r>
              <w:rPr>
                <w:rFonts w:hint="eastAsia" w:ascii="仿宋" w:hAnsi="仿宋" w:eastAsia="仿宋"/>
                <w:kern w:val="0"/>
                <w:sz w:val="24"/>
                <w:szCs w:val="24"/>
              </w:rPr>
              <w:t xml:space="preserve">  （二）本次采购项目的控制价上限为：</w:t>
            </w:r>
            <w:r>
              <w:rPr>
                <w:rFonts w:hint="eastAsia" w:ascii="仿宋" w:hAnsi="仿宋" w:eastAsia="仿宋"/>
                <w:b/>
                <w:bCs/>
                <w:kern w:val="0"/>
                <w:sz w:val="24"/>
                <w:szCs w:val="24"/>
              </w:rPr>
              <w:t>NO.A标段设计费上限价合计32.6</w:t>
            </w:r>
            <w:r>
              <w:rPr>
                <w:rFonts w:hint="eastAsia" w:ascii="仿宋" w:hAnsi="仿宋" w:eastAsia="仿宋"/>
                <w:kern w:val="0"/>
                <w:sz w:val="24"/>
                <w:szCs w:val="24"/>
              </w:rPr>
              <w:t>万元（含税费）；</w:t>
            </w:r>
            <w:r>
              <w:rPr>
                <w:rFonts w:hint="eastAsia" w:ascii="仿宋" w:hAnsi="仿宋" w:eastAsia="仿宋"/>
                <w:b/>
                <w:bCs/>
                <w:kern w:val="0"/>
                <w:sz w:val="24"/>
                <w:szCs w:val="24"/>
              </w:rPr>
              <w:t>NO.B标段设计费上限价合计32.8</w:t>
            </w:r>
            <w:r>
              <w:rPr>
                <w:rFonts w:hint="eastAsia" w:ascii="仿宋" w:hAnsi="仿宋" w:eastAsia="仿宋"/>
                <w:kern w:val="0"/>
                <w:sz w:val="24"/>
                <w:szCs w:val="24"/>
              </w:rPr>
              <w:t>万元（含税费）。</w:t>
            </w:r>
          </w:p>
          <w:p w14:paraId="7051F44A">
            <w:pPr>
              <w:rPr>
                <w:rFonts w:ascii="仿宋" w:hAnsi="仿宋" w:eastAsia="仿宋" w:cs="Times New Roman"/>
                <w:sz w:val="24"/>
                <w:szCs w:val="24"/>
              </w:rPr>
            </w:pPr>
            <w:r>
              <w:rPr>
                <w:rFonts w:hint="eastAsia" w:ascii="仿宋" w:hAnsi="仿宋" w:eastAsia="仿宋"/>
                <w:kern w:val="0"/>
                <w:sz w:val="24"/>
                <w:szCs w:val="24"/>
              </w:rPr>
              <w:t xml:space="preserve">  （三）报价时采用人民币报价，单位为元。</w:t>
            </w:r>
          </w:p>
        </w:tc>
      </w:tr>
      <w:tr w14:paraId="5FC15508">
        <w:tblPrEx>
          <w:tblCellMar>
            <w:top w:w="0" w:type="dxa"/>
            <w:left w:w="108" w:type="dxa"/>
            <w:bottom w:w="0" w:type="dxa"/>
            <w:right w:w="108" w:type="dxa"/>
          </w:tblCellMar>
        </w:tblPrEx>
        <w:trPr>
          <w:gridAfter w:val="7"/>
          <w:wAfter w:w="2314" w:type="dxa"/>
          <w:trHeight w:val="1230" w:hRule="atLeast"/>
        </w:trPr>
        <w:tc>
          <w:tcPr>
            <w:tcW w:w="10564" w:type="dxa"/>
            <w:gridSpan w:val="6"/>
            <w:tcBorders>
              <w:top w:val="nil"/>
              <w:left w:val="nil"/>
              <w:bottom w:val="nil"/>
              <w:right w:val="nil"/>
            </w:tcBorders>
          </w:tcPr>
          <w:p w14:paraId="52804781">
            <w:pPr>
              <w:widowControl/>
              <w:jc w:val="left"/>
              <w:rPr>
                <w:rFonts w:ascii="仿宋" w:hAnsi="仿宋" w:eastAsia="仿宋" w:cs="Times New Roman"/>
                <w:kern w:val="0"/>
                <w:sz w:val="24"/>
                <w:szCs w:val="24"/>
              </w:rPr>
            </w:pPr>
            <w:r>
              <w:rPr>
                <w:rFonts w:hint="eastAsia" w:ascii="仿宋" w:hAnsi="仿宋" w:eastAsia="仿宋"/>
                <w:b/>
                <w:kern w:val="0"/>
                <w:sz w:val="24"/>
                <w:szCs w:val="24"/>
              </w:rPr>
              <w:t xml:space="preserve"> 六、工期、质量、安全要求</w:t>
            </w:r>
            <w:r>
              <w:rPr>
                <w:rFonts w:hint="eastAsia" w:ascii="仿宋" w:hAnsi="仿宋" w:eastAsia="仿宋" w:cs="Times New Roman"/>
                <w:kern w:val="0"/>
                <w:sz w:val="24"/>
                <w:szCs w:val="24"/>
              </w:rPr>
              <w:br w:type="textWrapping"/>
            </w:r>
            <w:r>
              <w:rPr>
                <w:rFonts w:hint="eastAsia" w:ascii="仿宋" w:hAnsi="仿宋" w:eastAsia="仿宋"/>
                <w:kern w:val="0"/>
                <w:sz w:val="24"/>
                <w:szCs w:val="24"/>
              </w:rPr>
              <w:t>（一）工期要求：签订合同之日起20日内提交成果</w:t>
            </w:r>
            <w:r>
              <w:rPr>
                <w:rFonts w:hint="eastAsia" w:ascii="仿宋" w:hAnsi="仿宋" w:eastAsia="仿宋" w:cs="Times New Roman"/>
                <w:kern w:val="0"/>
                <w:sz w:val="24"/>
                <w:szCs w:val="24"/>
              </w:rPr>
              <w:br w:type="textWrapping"/>
            </w:r>
            <w:r>
              <w:rPr>
                <w:rFonts w:hint="eastAsia" w:ascii="仿宋" w:hAnsi="仿宋" w:eastAsia="仿宋"/>
                <w:kern w:val="0"/>
                <w:sz w:val="24"/>
                <w:szCs w:val="24"/>
              </w:rPr>
              <w:t>（二）质量要求：合格。</w:t>
            </w:r>
            <w:r>
              <w:rPr>
                <w:rFonts w:hint="eastAsia" w:ascii="仿宋" w:hAnsi="仿宋" w:eastAsia="仿宋" w:cs="Times New Roman"/>
                <w:kern w:val="0"/>
                <w:sz w:val="24"/>
                <w:szCs w:val="24"/>
              </w:rPr>
              <w:br w:type="textWrapping"/>
            </w:r>
            <w:r>
              <w:rPr>
                <w:rFonts w:hint="eastAsia" w:ascii="仿宋" w:hAnsi="仿宋" w:eastAsia="仿宋"/>
                <w:kern w:val="0"/>
                <w:sz w:val="24"/>
                <w:szCs w:val="24"/>
              </w:rPr>
              <w:t>（三）安全要求：服务过程无安全生产责任事故。</w:t>
            </w:r>
          </w:p>
        </w:tc>
      </w:tr>
      <w:tr w14:paraId="5415D6D9">
        <w:tblPrEx>
          <w:tblCellMar>
            <w:top w:w="0" w:type="dxa"/>
            <w:left w:w="108" w:type="dxa"/>
            <w:bottom w:w="0" w:type="dxa"/>
            <w:right w:w="108" w:type="dxa"/>
          </w:tblCellMar>
        </w:tblPrEx>
        <w:trPr>
          <w:gridAfter w:val="7"/>
          <w:wAfter w:w="2314" w:type="dxa"/>
          <w:trHeight w:val="90" w:hRule="atLeast"/>
        </w:trPr>
        <w:tc>
          <w:tcPr>
            <w:tcW w:w="10564" w:type="dxa"/>
            <w:gridSpan w:val="6"/>
            <w:tcBorders>
              <w:top w:val="nil"/>
              <w:left w:val="nil"/>
              <w:bottom w:val="nil"/>
              <w:right w:val="nil"/>
            </w:tcBorders>
          </w:tcPr>
          <w:p w14:paraId="7A5FA8F0">
            <w:pPr>
              <w:widowControl/>
              <w:jc w:val="left"/>
              <w:rPr>
                <w:rFonts w:ascii="仿宋" w:hAnsi="仿宋" w:eastAsia="仿宋" w:cs="Times New Roman"/>
                <w:kern w:val="0"/>
                <w:sz w:val="24"/>
                <w:szCs w:val="24"/>
              </w:rPr>
            </w:pPr>
            <w:r>
              <w:rPr>
                <w:rFonts w:hint="eastAsia" w:ascii="仿宋" w:hAnsi="仿宋" w:eastAsia="仿宋"/>
                <w:b/>
                <w:kern w:val="0"/>
                <w:sz w:val="24"/>
                <w:szCs w:val="24"/>
              </w:rPr>
              <w:t>七、验收方式</w:t>
            </w:r>
            <w:r>
              <w:rPr>
                <w:rFonts w:hint="eastAsia" w:ascii="仿宋" w:hAnsi="仿宋" w:eastAsia="仿宋" w:cs="Times New Roman"/>
                <w:b/>
                <w:kern w:val="0"/>
                <w:sz w:val="24"/>
                <w:szCs w:val="24"/>
              </w:rPr>
              <w:br w:type="textWrapping"/>
            </w:r>
            <w:r>
              <w:rPr>
                <w:rFonts w:hint="eastAsia" w:ascii="仿宋" w:hAnsi="仿宋" w:eastAsia="仿宋"/>
                <w:kern w:val="0"/>
                <w:sz w:val="24"/>
                <w:szCs w:val="24"/>
              </w:rPr>
              <w:t xml:space="preserve">  采购人自行组织，供应商协助,满足相关技术规范要求，确保项目能通过批复后视为合格。如相关职能部门不需提供某专项报告，以采购人组织验收结论为准，对验收流程及结论有歧义的执行现行行业相关规定。</w:t>
            </w:r>
            <w:r>
              <w:rPr>
                <w:rFonts w:hint="eastAsia" w:ascii="仿宋" w:hAnsi="仿宋" w:eastAsia="仿宋" w:cs="Times New Roman"/>
                <w:kern w:val="0"/>
                <w:sz w:val="24"/>
                <w:szCs w:val="24"/>
              </w:rPr>
              <w:br w:type="textWrapping"/>
            </w:r>
            <w:r>
              <w:rPr>
                <w:rFonts w:hint="eastAsia" w:ascii="仿宋" w:hAnsi="仿宋" w:eastAsia="仿宋"/>
                <w:b/>
                <w:kern w:val="0"/>
                <w:sz w:val="24"/>
                <w:szCs w:val="24"/>
              </w:rPr>
              <w:t>八、支付方式</w:t>
            </w:r>
            <w:r>
              <w:rPr>
                <w:rFonts w:hint="eastAsia" w:ascii="仿宋" w:hAnsi="仿宋" w:eastAsia="仿宋" w:cs="Times New Roman"/>
                <w:b/>
                <w:kern w:val="0"/>
                <w:sz w:val="24"/>
                <w:szCs w:val="24"/>
              </w:rPr>
              <w:br w:type="textWrapping"/>
            </w:r>
            <w:r>
              <w:rPr>
                <w:rFonts w:hint="eastAsia" w:ascii="仿宋" w:hAnsi="仿宋" w:eastAsia="仿宋"/>
                <w:kern w:val="0"/>
                <w:sz w:val="24"/>
                <w:szCs w:val="24"/>
              </w:rPr>
              <w:t>项目设计合同服务费支付的前提是中标人提交成果经过验收合格后，且采购人部门预算前期工作经费明确安排到位或者合同中包含单个项目资金到账后方能支付该单个项目的服务费，其余单个项目资金不到位的情况下不进行服务费支付，如项目一直无法落实导致采购人无法支付服务费的风险由中标单位自行承担。</w:t>
            </w:r>
          </w:p>
        </w:tc>
      </w:tr>
      <w:tr w14:paraId="0AE06C9A">
        <w:tblPrEx>
          <w:tblCellMar>
            <w:top w:w="0" w:type="dxa"/>
            <w:left w:w="108" w:type="dxa"/>
            <w:bottom w:w="0" w:type="dxa"/>
            <w:right w:w="108" w:type="dxa"/>
          </w:tblCellMar>
        </w:tblPrEx>
        <w:trPr>
          <w:gridAfter w:val="7"/>
          <w:wAfter w:w="2314" w:type="dxa"/>
          <w:trHeight w:val="90" w:hRule="atLeast"/>
        </w:trPr>
        <w:tc>
          <w:tcPr>
            <w:tcW w:w="10564" w:type="dxa"/>
            <w:gridSpan w:val="6"/>
            <w:tcBorders>
              <w:top w:val="nil"/>
              <w:left w:val="nil"/>
              <w:bottom w:val="nil"/>
              <w:right w:val="nil"/>
            </w:tcBorders>
          </w:tcPr>
          <w:p w14:paraId="3EB490ED">
            <w:pPr>
              <w:widowControl/>
              <w:spacing w:after="240"/>
              <w:jc w:val="left"/>
              <w:rPr>
                <w:rFonts w:ascii="仿宋" w:hAnsi="仿宋" w:eastAsia="仿宋"/>
                <w:b/>
                <w:kern w:val="0"/>
                <w:sz w:val="24"/>
                <w:szCs w:val="24"/>
              </w:rPr>
            </w:pPr>
            <w:r>
              <w:rPr>
                <w:rFonts w:hint="eastAsia" w:ascii="仿宋" w:hAnsi="仿宋" w:eastAsia="仿宋"/>
                <w:b/>
                <w:kern w:val="0"/>
                <w:sz w:val="24"/>
                <w:szCs w:val="24"/>
              </w:rPr>
              <w:t xml:space="preserve"> 九、提交响应文件截止时间、地点及相关事宜</w:t>
            </w:r>
          </w:p>
          <w:p w14:paraId="782F3A6E">
            <w:pPr>
              <w:snapToGrid w:val="0"/>
              <w:jc w:val="left"/>
              <w:rPr>
                <w:rFonts w:ascii="仿宋" w:hAnsi="仿宋" w:eastAsia="仿宋"/>
                <w:sz w:val="24"/>
                <w:szCs w:val="24"/>
              </w:rPr>
            </w:pPr>
            <w:r>
              <w:rPr>
                <w:rFonts w:hint="eastAsia" w:ascii="仿宋" w:hAnsi="仿宋" w:eastAsia="仿宋"/>
                <w:sz w:val="24"/>
                <w:szCs w:val="24"/>
              </w:rPr>
              <w:t>（一）</w:t>
            </w:r>
            <w:r>
              <w:rPr>
                <w:rFonts w:hint="eastAsia" w:ascii="仿宋" w:hAnsi="仿宋" w:eastAsia="仿宋"/>
                <w:b/>
                <w:sz w:val="24"/>
                <w:szCs w:val="24"/>
              </w:rPr>
              <w:t>响应文件递交的开始时间</w:t>
            </w:r>
            <w:r>
              <w:rPr>
                <w:rFonts w:ascii="仿宋" w:hAnsi="仿宋" w:eastAsia="仿宋"/>
                <w:b/>
                <w:sz w:val="24"/>
                <w:szCs w:val="24"/>
              </w:rPr>
              <w:t>2024</w:t>
            </w:r>
            <w:r>
              <w:rPr>
                <w:rFonts w:hint="eastAsia" w:ascii="仿宋" w:hAnsi="仿宋" w:eastAsia="仿宋"/>
                <w:b/>
                <w:sz w:val="24"/>
                <w:szCs w:val="24"/>
              </w:rPr>
              <w:t>年</w:t>
            </w:r>
            <w:r>
              <w:rPr>
                <w:rFonts w:ascii="仿宋" w:hAnsi="仿宋" w:eastAsia="仿宋"/>
                <w:b/>
                <w:sz w:val="24"/>
                <w:szCs w:val="24"/>
              </w:rPr>
              <w:t>12</w:t>
            </w:r>
            <w:r>
              <w:rPr>
                <w:rFonts w:hint="eastAsia" w:ascii="仿宋" w:hAnsi="仿宋" w:eastAsia="仿宋"/>
                <w:b/>
                <w:sz w:val="24"/>
                <w:szCs w:val="24"/>
              </w:rPr>
              <w:t>月10日上午</w:t>
            </w:r>
            <w:r>
              <w:rPr>
                <w:rFonts w:ascii="仿宋" w:hAnsi="仿宋" w:eastAsia="仿宋"/>
                <w:b/>
                <w:sz w:val="24"/>
                <w:szCs w:val="24"/>
              </w:rPr>
              <w:t>9:00，</w:t>
            </w:r>
            <w:r>
              <w:rPr>
                <w:rFonts w:hint="eastAsia" w:ascii="仿宋" w:hAnsi="仿宋" w:eastAsia="仿宋"/>
                <w:b/>
                <w:sz w:val="24"/>
                <w:szCs w:val="24"/>
              </w:rPr>
              <w:t>截止时间：</w:t>
            </w:r>
            <w:r>
              <w:rPr>
                <w:rFonts w:ascii="仿宋" w:hAnsi="仿宋" w:eastAsia="仿宋"/>
                <w:b/>
                <w:sz w:val="24"/>
                <w:szCs w:val="24"/>
              </w:rPr>
              <w:t>2024</w:t>
            </w:r>
            <w:r>
              <w:rPr>
                <w:rFonts w:hint="eastAsia" w:ascii="仿宋" w:hAnsi="仿宋" w:eastAsia="仿宋"/>
                <w:b/>
                <w:sz w:val="24"/>
                <w:szCs w:val="24"/>
              </w:rPr>
              <w:t>年</w:t>
            </w:r>
            <w:r>
              <w:rPr>
                <w:rFonts w:ascii="仿宋" w:hAnsi="仿宋" w:eastAsia="仿宋"/>
                <w:b/>
                <w:sz w:val="24"/>
                <w:szCs w:val="24"/>
              </w:rPr>
              <w:t>12</w:t>
            </w:r>
            <w:r>
              <w:rPr>
                <w:rFonts w:hint="eastAsia" w:ascii="仿宋" w:hAnsi="仿宋" w:eastAsia="仿宋"/>
                <w:b/>
                <w:sz w:val="24"/>
                <w:szCs w:val="24"/>
              </w:rPr>
              <w:t>月</w:t>
            </w:r>
            <w:r>
              <w:rPr>
                <w:rFonts w:hint="eastAsia" w:ascii="仿宋" w:hAnsi="仿宋" w:eastAsia="仿宋"/>
                <w:b/>
                <w:sz w:val="24"/>
                <w:szCs w:val="24"/>
                <w:lang w:val="en-US" w:eastAsia="zh-CN"/>
              </w:rPr>
              <w:t>10</w:t>
            </w:r>
            <w:r>
              <w:rPr>
                <w:rFonts w:hint="eastAsia" w:ascii="仿宋" w:hAnsi="仿宋" w:eastAsia="仿宋"/>
                <w:b/>
                <w:sz w:val="24"/>
                <w:szCs w:val="24"/>
              </w:rPr>
              <w:t>日上午</w:t>
            </w:r>
            <w:r>
              <w:rPr>
                <w:rFonts w:ascii="仿宋" w:hAnsi="仿宋" w:eastAsia="仿宋"/>
                <w:b/>
                <w:sz w:val="24"/>
                <w:szCs w:val="24"/>
              </w:rPr>
              <w:t>9</w:t>
            </w:r>
            <w:r>
              <w:rPr>
                <w:rFonts w:hint="eastAsia" w:ascii="仿宋" w:hAnsi="仿宋" w:eastAsia="仿宋"/>
                <w:b/>
                <w:sz w:val="24"/>
                <w:szCs w:val="24"/>
              </w:rPr>
              <w:t>：</w:t>
            </w:r>
            <w:r>
              <w:rPr>
                <w:rFonts w:ascii="仿宋" w:hAnsi="仿宋" w:eastAsia="仿宋"/>
                <w:b/>
                <w:sz w:val="24"/>
                <w:szCs w:val="24"/>
              </w:rPr>
              <w:t>30</w:t>
            </w:r>
            <w:r>
              <w:rPr>
                <w:rFonts w:hint="eastAsia" w:ascii="仿宋" w:hAnsi="仿宋" w:eastAsia="仿宋"/>
                <w:b/>
                <w:sz w:val="24"/>
                <w:szCs w:val="24"/>
              </w:rPr>
              <w:t>。</w:t>
            </w:r>
          </w:p>
        </w:tc>
      </w:tr>
      <w:tr w14:paraId="12A036DD">
        <w:tblPrEx>
          <w:tblCellMar>
            <w:top w:w="0" w:type="dxa"/>
            <w:left w:w="108" w:type="dxa"/>
            <w:bottom w:w="0" w:type="dxa"/>
            <w:right w:w="108" w:type="dxa"/>
          </w:tblCellMar>
        </w:tblPrEx>
        <w:trPr>
          <w:gridAfter w:val="7"/>
          <w:wAfter w:w="2314" w:type="dxa"/>
          <w:trHeight w:val="1170" w:hRule="atLeast"/>
        </w:trPr>
        <w:tc>
          <w:tcPr>
            <w:tcW w:w="10564" w:type="dxa"/>
            <w:gridSpan w:val="6"/>
            <w:tcBorders>
              <w:top w:val="nil"/>
              <w:left w:val="nil"/>
              <w:bottom w:val="nil"/>
              <w:right w:val="nil"/>
            </w:tcBorders>
          </w:tcPr>
          <w:p w14:paraId="270D5F2D">
            <w:pPr>
              <w:widowControl/>
              <w:jc w:val="left"/>
              <w:rPr>
                <w:rFonts w:ascii="仿宋" w:hAnsi="仿宋" w:eastAsia="仿宋"/>
                <w:kern w:val="0"/>
                <w:sz w:val="24"/>
                <w:szCs w:val="24"/>
              </w:rPr>
            </w:pPr>
            <w:r>
              <w:rPr>
                <w:rFonts w:hint="eastAsia" w:ascii="仿宋" w:hAnsi="仿宋" w:eastAsia="仿宋"/>
                <w:kern w:val="0"/>
                <w:sz w:val="24"/>
                <w:szCs w:val="24"/>
              </w:rPr>
              <w:t>（二）递交地点：柳州市航银路33号桂中公路发展中心4楼418室。</w:t>
            </w:r>
            <w:r>
              <w:rPr>
                <w:rFonts w:hint="eastAsia" w:ascii="仿宋" w:hAnsi="仿宋" w:eastAsia="仿宋"/>
                <w:kern w:val="0"/>
                <w:sz w:val="24"/>
                <w:szCs w:val="24"/>
              </w:rPr>
              <w:br w:type="textWrapping"/>
            </w:r>
            <w:r>
              <w:rPr>
                <w:rFonts w:hint="eastAsia" w:ascii="仿宋" w:hAnsi="仿宋" w:eastAsia="仿宋"/>
                <w:kern w:val="0"/>
                <w:sz w:val="24"/>
                <w:szCs w:val="24"/>
              </w:rPr>
              <w:t>（三）逾期送达的或者未送达指定地点的相应文件，采购人不予受理。</w:t>
            </w:r>
            <w:r>
              <w:rPr>
                <w:rFonts w:hint="eastAsia" w:ascii="仿宋" w:hAnsi="仿宋" w:eastAsia="仿宋"/>
                <w:kern w:val="0"/>
                <w:sz w:val="24"/>
                <w:szCs w:val="24"/>
              </w:rPr>
              <w:br w:type="textWrapping"/>
            </w:r>
            <w:r>
              <w:rPr>
                <w:rFonts w:hint="eastAsia" w:ascii="仿宋" w:hAnsi="仿宋" w:eastAsia="仿宋"/>
                <w:kern w:val="0"/>
                <w:sz w:val="24"/>
                <w:szCs w:val="24"/>
              </w:rPr>
              <w:t>（四）供应商在响应文件的套封上写明供应商名称，并且采用密封报价，密封袋封口处必须加盖公章，否则视为无效报价文件。</w:t>
            </w:r>
          </w:p>
        </w:tc>
      </w:tr>
      <w:tr w14:paraId="05E0B3EE">
        <w:tblPrEx>
          <w:tblCellMar>
            <w:top w:w="0" w:type="dxa"/>
            <w:left w:w="108" w:type="dxa"/>
            <w:bottom w:w="0" w:type="dxa"/>
            <w:right w:w="108" w:type="dxa"/>
          </w:tblCellMar>
        </w:tblPrEx>
        <w:trPr>
          <w:gridAfter w:val="7"/>
          <w:wAfter w:w="2314" w:type="dxa"/>
          <w:trHeight w:val="2895" w:hRule="atLeast"/>
        </w:trPr>
        <w:tc>
          <w:tcPr>
            <w:tcW w:w="10564" w:type="dxa"/>
            <w:gridSpan w:val="6"/>
            <w:tcBorders>
              <w:top w:val="nil"/>
              <w:left w:val="nil"/>
              <w:bottom w:val="nil"/>
              <w:right w:val="nil"/>
            </w:tcBorders>
          </w:tcPr>
          <w:p w14:paraId="16CC30AF">
            <w:pPr>
              <w:ind w:firstLine="532" w:firstLineChars="221"/>
              <w:jc w:val="left"/>
              <w:rPr>
                <w:rFonts w:ascii="仿宋" w:hAnsi="仿宋" w:eastAsia="仿宋"/>
                <w:b/>
                <w:kern w:val="0"/>
                <w:sz w:val="24"/>
                <w:szCs w:val="24"/>
              </w:rPr>
            </w:pPr>
            <w:r>
              <w:rPr>
                <w:rFonts w:hint="eastAsia" w:ascii="仿宋" w:hAnsi="仿宋" w:eastAsia="仿宋"/>
                <w:b/>
                <w:kern w:val="0"/>
                <w:sz w:val="24"/>
                <w:szCs w:val="24"/>
              </w:rPr>
              <w:t>十</w:t>
            </w:r>
            <w:bookmarkStart w:id="2" w:name="OLE_LINK3"/>
            <w:bookmarkStart w:id="3" w:name="OLE_LINK4"/>
            <w:r>
              <w:rPr>
                <w:rFonts w:hint="eastAsia" w:ascii="仿宋" w:hAnsi="仿宋" w:eastAsia="仿宋"/>
                <w:b/>
                <w:kern w:val="0"/>
                <w:sz w:val="24"/>
                <w:szCs w:val="24"/>
              </w:rPr>
              <w:t>、投标文件的递交</w:t>
            </w:r>
          </w:p>
          <w:bookmarkEnd w:id="2"/>
          <w:bookmarkEnd w:id="3"/>
          <w:p w14:paraId="4ACCE483">
            <w:pPr>
              <w:pStyle w:val="2"/>
              <w:rPr>
                <w:rFonts w:ascii="仿宋" w:hAnsi="仿宋" w:eastAsia="仿宋" w:cs="宋体"/>
                <w:b w:val="0"/>
                <w:bCs w:val="0"/>
                <w:sz w:val="24"/>
                <w:szCs w:val="24"/>
              </w:rPr>
            </w:pPr>
          </w:p>
          <w:p w14:paraId="0CE5527B">
            <w:pPr>
              <w:widowControl/>
              <w:jc w:val="left"/>
              <w:rPr>
                <w:rFonts w:ascii="仿宋" w:hAnsi="仿宋" w:eastAsia="仿宋"/>
                <w:kern w:val="0"/>
                <w:sz w:val="24"/>
                <w:szCs w:val="24"/>
              </w:rPr>
            </w:pPr>
            <w:r>
              <w:rPr>
                <w:rFonts w:hint="eastAsia" w:ascii="仿宋" w:hAnsi="仿宋" w:eastAsia="仿宋"/>
                <w:kern w:val="0"/>
                <w:sz w:val="24"/>
                <w:szCs w:val="24"/>
              </w:rPr>
              <w:t xml:space="preserve">10. 投标 </w:t>
            </w:r>
          </w:p>
          <w:p w14:paraId="11183BF2">
            <w:pPr>
              <w:widowControl/>
              <w:jc w:val="left"/>
              <w:rPr>
                <w:rFonts w:ascii="仿宋" w:hAnsi="仿宋" w:eastAsia="仿宋"/>
                <w:kern w:val="0"/>
                <w:sz w:val="24"/>
                <w:szCs w:val="24"/>
              </w:rPr>
            </w:pPr>
            <w:r>
              <w:rPr>
                <w:rFonts w:hint="eastAsia" w:ascii="仿宋" w:hAnsi="仿宋" w:eastAsia="仿宋"/>
                <w:kern w:val="0"/>
                <w:sz w:val="24"/>
                <w:szCs w:val="24"/>
              </w:rPr>
              <w:t xml:space="preserve">10.1 响应文件的密封和标识 </w:t>
            </w:r>
          </w:p>
          <w:p w14:paraId="304D8DED">
            <w:pPr>
              <w:widowControl/>
              <w:jc w:val="left"/>
              <w:rPr>
                <w:rFonts w:ascii="仿宋" w:hAnsi="仿宋" w:eastAsia="仿宋"/>
                <w:kern w:val="0"/>
                <w:sz w:val="24"/>
                <w:szCs w:val="24"/>
              </w:rPr>
            </w:pPr>
            <w:r>
              <w:rPr>
                <w:rFonts w:hint="eastAsia" w:ascii="仿宋" w:hAnsi="仿宋" w:eastAsia="仿宋"/>
                <w:kern w:val="0"/>
                <w:sz w:val="24"/>
                <w:szCs w:val="24"/>
              </w:rPr>
              <w:t>10</w:t>
            </w:r>
            <w:r>
              <w:rPr>
                <w:rFonts w:ascii="仿宋" w:hAnsi="仿宋" w:eastAsia="仿宋"/>
                <w:kern w:val="0"/>
                <w:sz w:val="24"/>
                <w:szCs w:val="24"/>
              </w:rPr>
              <w:t>.1.1 各标段</w:t>
            </w:r>
            <w:r>
              <w:rPr>
                <w:rFonts w:hint="eastAsia" w:ascii="仿宋" w:hAnsi="仿宋" w:eastAsia="仿宋"/>
                <w:kern w:val="0"/>
                <w:sz w:val="24"/>
                <w:szCs w:val="24"/>
              </w:rPr>
              <w:t xml:space="preserve">响应文件采用单信封形式密封，正本1份，副本2份（应统一密封在一个封套中）。封套应加贴封条，并在封套的封口处加盖供应商单位章或由供应商的法定代表人或其委托代理人签字。 </w:t>
            </w:r>
          </w:p>
          <w:p w14:paraId="5D428331">
            <w:pPr>
              <w:widowControl/>
              <w:jc w:val="left"/>
              <w:rPr>
                <w:rFonts w:ascii="仿宋" w:hAnsi="仿宋" w:eastAsia="仿宋"/>
                <w:kern w:val="0"/>
                <w:sz w:val="24"/>
                <w:szCs w:val="24"/>
              </w:rPr>
            </w:pPr>
            <w:r>
              <w:rPr>
                <w:rFonts w:hint="eastAsia" w:ascii="仿宋" w:hAnsi="仿宋" w:eastAsia="仿宋"/>
                <w:kern w:val="0"/>
                <w:sz w:val="24"/>
                <w:szCs w:val="24"/>
              </w:rPr>
              <w:t xml:space="preserve">10.2 响应文件的递交 </w:t>
            </w:r>
          </w:p>
          <w:p w14:paraId="40F67C28">
            <w:pPr>
              <w:widowControl/>
              <w:jc w:val="left"/>
              <w:rPr>
                <w:rFonts w:ascii="仿宋" w:hAnsi="仿宋" w:eastAsia="仿宋"/>
                <w:kern w:val="0"/>
                <w:sz w:val="24"/>
                <w:szCs w:val="24"/>
              </w:rPr>
            </w:pPr>
            <w:r>
              <w:rPr>
                <w:rFonts w:hint="eastAsia" w:ascii="仿宋" w:hAnsi="仿宋" w:eastAsia="仿宋"/>
                <w:kern w:val="0"/>
                <w:sz w:val="24"/>
                <w:szCs w:val="24"/>
              </w:rPr>
              <w:t>10.2.1 供应商按照询价公告的规定，在响应文件递交的截止时间前一次性报出不得更改的价格，并将密封及加盖公章的响应文件送达桂中中心418室。在纪检监察室监督下，采购管理部门负责供应商响应文件的登记工作，并填写《自行采购提交响应文件登记表》。</w:t>
            </w:r>
          </w:p>
          <w:p w14:paraId="24CEB720">
            <w:pPr>
              <w:widowControl/>
              <w:jc w:val="left"/>
              <w:rPr>
                <w:rFonts w:ascii="仿宋" w:hAnsi="仿宋" w:eastAsia="仿宋"/>
                <w:kern w:val="0"/>
                <w:sz w:val="24"/>
                <w:szCs w:val="24"/>
              </w:rPr>
            </w:pPr>
            <w:r>
              <w:rPr>
                <w:rFonts w:hint="eastAsia" w:ascii="仿宋" w:hAnsi="仿宋" w:eastAsia="仿宋"/>
                <w:kern w:val="0"/>
                <w:sz w:val="24"/>
                <w:szCs w:val="24"/>
              </w:rPr>
              <w:t xml:space="preserve">10.2.2采购管理部门收集和登记供应商响应文件后，若因特殊原因，不能立即进行评审的，在纪检监察室监督下，评审小组负责封存评审材料，并由国资科填写《自行采购评审时间调整审批表》报分管采购领导审批。除另有规定外，供应商所递交的响应文件不予退还。供应商少于 3 个的，响应文件当场退还给供应商。 </w:t>
            </w:r>
          </w:p>
          <w:p w14:paraId="712D8DE9">
            <w:pPr>
              <w:widowControl/>
              <w:jc w:val="left"/>
              <w:rPr>
                <w:rFonts w:ascii="仿宋" w:hAnsi="仿宋" w:eastAsia="仿宋"/>
                <w:kern w:val="0"/>
                <w:sz w:val="24"/>
                <w:szCs w:val="24"/>
              </w:rPr>
            </w:pPr>
            <w:r>
              <w:rPr>
                <w:rFonts w:hint="eastAsia" w:ascii="仿宋" w:hAnsi="仿宋" w:eastAsia="仿宋"/>
                <w:kern w:val="0"/>
                <w:sz w:val="24"/>
                <w:szCs w:val="24"/>
              </w:rPr>
              <w:t xml:space="preserve">10.2.3 逾期送达的或未送达指定地点的响应文件，采购人将予以拒收。 </w:t>
            </w:r>
          </w:p>
          <w:p w14:paraId="740F5E22">
            <w:pPr>
              <w:ind w:firstLine="532" w:firstLineChars="221"/>
              <w:jc w:val="left"/>
              <w:rPr>
                <w:rFonts w:ascii="仿宋" w:hAnsi="仿宋" w:eastAsia="仿宋"/>
                <w:b/>
                <w:kern w:val="0"/>
                <w:sz w:val="24"/>
                <w:szCs w:val="24"/>
              </w:rPr>
            </w:pPr>
            <w:r>
              <w:rPr>
                <w:rFonts w:hint="eastAsia" w:ascii="仿宋" w:hAnsi="仿宋" w:eastAsia="仿宋"/>
                <w:b/>
                <w:kern w:val="0"/>
                <w:sz w:val="24"/>
                <w:szCs w:val="24"/>
              </w:rPr>
              <w:t>十一、开标流程</w:t>
            </w:r>
          </w:p>
          <w:p w14:paraId="4EBF5CC5">
            <w:pPr>
              <w:widowControl/>
              <w:jc w:val="left"/>
              <w:rPr>
                <w:rFonts w:ascii="仿宋" w:hAnsi="仿宋" w:eastAsia="仿宋"/>
                <w:kern w:val="0"/>
                <w:sz w:val="24"/>
                <w:szCs w:val="24"/>
              </w:rPr>
            </w:pPr>
            <w:r>
              <w:rPr>
                <w:rFonts w:hint="eastAsia" w:ascii="仿宋" w:hAnsi="仿宋" w:eastAsia="仿宋"/>
                <w:kern w:val="0"/>
                <w:sz w:val="24"/>
                <w:szCs w:val="24"/>
              </w:rPr>
              <w:t xml:space="preserve"> 11.1 开标时间和地点 </w:t>
            </w:r>
          </w:p>
          <w:p w14:paraId="29E1A05E">
            <w:pPr>
              <w:widowControl/>
              <w:jc w:val="left"/>
              <w:rPr>
                <w:rFonts w:ascii="仿宋" w:hAnsi="仿宋" w:eastAsia="仿宋"/>
                <w:kern w:val="0"/>
                <w:sz w:val="24"/>
                <w:szCs w:val="24"/>
              </w:rPr>
            </w:pPr>
            <w:r>
              <w:rPr>
                <w:rFonts w:hint="eastAsia" w:ascii="仿宋" w:hAnsi="仿宋" w:eastAsia="仿宋"/>
                <w:kern w:val="0"/>
                <w:sz w:val="24"/>
                <w:szCs w:val="24"/>
              </w:rPr>
              <w:t xml:space="preserve">采购人在“邀请询价公告”规定的投标截止时间（开标时间）、规定的地点对收到的响应文件公开开标，并邀请所有供应商的法定代表人或其委托代理人准时参加。供应商若未派法定代表人或委托代理人出席开标活动，视为该供应商默认开标结果。 </w:t>
            </w:r>
          </w:p>
          <w:p w14:paraId="06291FB7">
            <w:pPr>
              <w:widowControl/>
              <w:jc w:val="left"/>
              <w:rPr>
                <w:rFonts w:ascii="仿宋" w:hAnsi="仿宋" w:eastAsia="仿宋"/>
                <w:kern w:val="0"/>
                <w:sz w:val="24"/>
                <w:szCs w:val="24"/>
              </w:rPr>
            </w:pPr>
            <w:r>
              <w:rPr>
                <w:rFonts w:hint="eastAsia" w:ascii="仿宋" w:hAnsi="仿宋" w:eastAsia="仿宋"/>
                <w:kern w:val="0"/>
                <w:sz w:val="24"/>
                <w:szCs w:val="24"/>
              </w:rPr>
              <w:t xml:space="preserve">11.2 开标程序 </w:t>
            </w:r>
          </w:p>
          <w:p w14:paraId="32109B5F">
            <w:pPr>
              <w:widowControl/>
              <w:jc w:val="left"/>
              <w:rPr>
                <w:rFonts w:ascii="仿宋" w:hAnsi="仿宋" w:eastAsia="仿宋"/>
                <w:kern w:val="0"/>
                <w:sz w:val="24"/>
                <w:szCs w:val="24"/>
              </w:rPr>
            </w:pPr>
            <w:r>
              <w:rPr>
                <w:rFonts w:hint="eastAsia" w:ascii="仿宋" w:hAnsi="仿宋" w:eastAsia="仿宋"/>
                <w:kern w:val="0"/>
                <w:sz w:val="24"/>
                <w:szCs w:val="24"/>
              </w:rPr>
              <w:t>11</w:t>
            </w:r>
            <w:r>
              <w:rPr>
                <w:rFonts w:ascii="仿宋" w:hAnsi="仿宋" w:eastAsia="仿宋"/>
                <w:kern w:val="0"/>
                <w:sz w:val="24"/>
                <w:szCs w:val="24"/>
              </w:rPr>
              <w:t xml:space="preserve">.2.1 </w:t>
            </w:r>
            <w:r>
              <w:rPr>
                <w:rFonts w:hint="eastAsia" w:ascii="仿宋" w:hAnsi="仿宋" w:eastAsia="仿宋"/>
                <w:kern w:val="0"/>
                <w:sz w:val="24"/>
                <w:szCs w:val="24"/>
              </w:rPr>
              <w:t xml:space="preserve">主持人按下列程序对响应文件进行开标： </w:t>
            </w:r>
          </w:p>
          <w:p w14:paraId="4DB13BE0">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1</w:t>
            </w:r>
            <w:r>
              <w:rPr>
                <w:rFonts w:hint="eastAsia" w:ascii="仿宋" w:hAnsi="仿宋" w:eastAsia="仿宋"/>
                <w:kern w:val="0"/>
                <w:sz w:val="24"/>
                <w:szCs w:val="24"/>
              </w:rPr>
              <w:t xml:space="preserve">）宣布开标纪律； </w:t>
            </w:r>
          </w:p>
          <w:p w14:paraId="21763F0D">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2</w:t>
            </w:r>
            <w:r>
              <w:rPr>
                <w:rFonts w:hint="eastAsia" w:ascii="仿宋" w:hAnsi="仿宋" w:eastAsia="仿宋"/>
                <w:kern w:val="0"/>
                <w:sz w:val="24"/>
                <w:szCs w:val="24"/>
              </w:rPr>
              <w:t xml:space="preserve">）公布在投标截止时间前递交响应文件的供应商数量； </w:t>
            </w:r>
          </w:p>
          <w:p w14:paraId="7CD49B45">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3</w:t>
            </w:r>
            <w:r>
              <w:rPr>
                <w:rFonts w:hint="eastAsia" w:ascii="仿宋" w:hAnsi="仿宋" w:eastAsia="仿宋"/>
                <w:kern w:val="0"/>
                <w:sz w:val="24"/>
                <w:szCs w:val="24"/>
              </w:rPr>
              <w:t xml:space="preserve">）宣布开标人、唱标人、记录人等有关人员姓名； </w:t>
            </w:r>
          </w:p>
          <w:p w14:paraId="0545A2E5">
            <w:pPr>
              <w:widowControl/>
              <w:jc w:val="left"/>
              <w:rPr>
                <w:rFonts w:ascii="仿宋" w:hAnsi="仿宋" w:eastAsia="仿宋"/>
                <w:kern w:val="0"/>
                <w:sz w:val="24"/>
                <w:szCs w:val="24"/>
              </w:rPr>
            </w:pPr>
            <w:r>
              <w:rPr>
                <w:rFonts w:hint="eastAsia" w:ascii="仿宋" w:hAnsi="仿宋" w:eastAsia="仿宋"/>
                <w:kern w:val="0"/>
                <w:sz w:val="24"/>
                <w:szCs w:val="24"/>
              </w:rPr>
              <w:t xml:space="preserve">（4）请监督人公布响应文件的密封与完整等情况；； </w:t>
            </w:r>
          </w:p>
          <w:p w14:paraId="44BE072C">
            <w:pPr>
              <w:widowControl/>
              <w:jc w:val="left"/>
              <w:rPr>
                <w:rFonts w:ascii="仿宋" w:hAnsi="仿宋" w:eastAsia="仿宋"/>
                <w:kern w:val="0"/>
                <w:sz w:val="24"/>
                <w:szCs w:val="24"/>
              </w:rPr>
            </w:pPr>
            <w:r>
              <w:rPr>
                <w:rFonts w:hint="eastAsia" w:ascii="仿宋" w:hAnsi="仿宋" w:eastAsia="仿宋"/>
                <w:kern w:val="0"/>
                <w:sz w:val="24"/>
                <w:szCs w:val="24"/>
              </w:rPr>
              <w:t>（5）开启供应商响应文件前在开标现场由供应商代表或监标人当众随机抽取K值；</w:t>
            </w:r>
          </w:p>
          <w:p w14:paraId="64E48791">
            <w:pPr>
              <w:widowControl/>
              <w:jc w:val="left"/>
              <w:rPr>
                <w:rFonts w:ascii="仿宋" w:hAnsi="仿宋" w:eastAsia="仿宋"/>
                <w:kern w:val="0"/>
                <w:sz w:val="24"/>
                <w:szCs w:val="24"/>
              </w:rPr>
            </w:pPr>
            <w:r>
              <w:rPr>
                <w:rFonts w:hint="eastAsia" w:ascii="仿宋" w:hAnsi="仿宋" w:eastAsia="仿宋"/>
                <w:kern w:val="0"/>
                <w:sz w:val="24"/>
                <w:szCs w:val="24"/>
              </w:rPr>
              <w:t xml:space="preserve">（6）当众开标，公布标段名称、供应商名称及其他内容，并记录在案，填写《自行采购供应商报价记录表》； </w:t>
            </w:r>
          </w:p>
          <w:p w14:paraId="3600C91A">
            <w:pPr>
              <w:widowControl/>
              <w:jc w:val="left"/>
              <w:rPr>
                <w:rFonts w:ascii="仿宋" w:hAnsi="仿宋" w:eastAsia="仿宋"/>
                <w:kern w:val="0"/>
                <w:sz w:val="24"/>
                <w:szCs w:val="24"/>
              </w:rPr>
            </w:pPr>
            <w:r>
              <w:rPr>
                <w:rFonts w:hint="eastAsia" w:ascii="仿宋" w:hAnsi="仿宋" w:eastAsia="仿宋"/>
                <w:kern w:val="0"/>
                <w:sz w:val="24"/>
                <w:szCs w:val="24"/>
              </w:rPr>
              <w:t>（7）供应商代表、采购人代表、记录人等有关人员在开标记录上签字确认；</w:t>
            </w:r>
          </w:p>
          <w:p w14:paraId="34305037">
            <w:pPr>
              <w:widowControl/>
              <w:jc w:val="left"/>
              <w:rPr>
                <w:rFonts w:ascii="仿宋" w:hAnsi="仿宋" w:eastAsia="仿宋"/>
                <w:kern w:val="0"/>
                <w:sz w:val="24"/>
                <w:szCs w:val="24"/>
              </w:rPr>
            </w:pPr>
            <w:r>
              <w:rPr>
                <w:rFonts w:hint="eastAsia" w:ascii="仿宋" w:hAnsi="仿宋" w:eastAsia="仿宋"/>
                <w:kern w:val="0"/>
                <w:sz w:val="24"/>
                <w:szCs w:val="24"/>
              </w:rPr>
              <w:t xml:space="preserve">（8）开标结束。 </w:t>
            </w:r>
          </w:p>
          <w:p w14:paraId="139A0712">
            <w:pPr>
              <w:widowControl/>
              <w:jc w:val="left"/>
              <w:rPr>
                <w:rFonts w:ascii="仿宋" w:hAnsi="仿宋" w:eastAsia="仿宋"/>
                <w:kern w:val="0"/>
                <w:sz w:val="24"/>
                <w:szCs w:val="24"/>
              </w:rPr>
            </w:pPr>
            <w:r>
              <w:rPr>
                <w:rFonts w:hint="eastAsia" w:ascii="仿宋" w:hAnsi="仿宋" w:eastAsia="仿宋"/>
                <w:kern w:val="0"/>
                <w:sz w:val="24"/>
                <w:szCs w:val="24"/>
              </w:rPr>
              <w:t>11</w:t>
            </w:r>
            <w:r>
              <w:rPr>
                <w:rFonts w:ascii="仿宋" w:hAnsi="仿宋" w:eastAsia="仿宋"/>
                <w:kern w:val="0"/>
                <w:sz w:val="24"/>
                <w:szCs w:val="24"/>
              </w:rPr>
              <w:t>.2.</w:t>
            </w:r>
            <w:r>
              <w:rPr>
                <w:rFonts w:hint="eastAsia" w:ascii="仿宋" w:hAnsi="仿宋" w:eastAsia="仿宋"/>
                <w:kern w:val="0"/>
                <w:sz w:val="24"/>
                <w:szCs w:val="24"/>
              </w:rPr>
              <w:t xml:space="preserve">3在响应文件开标过程中，若采购人宣读的内容与响应文件不符，供应商有权在开标现场提出疑问，经采购人当场核查确认之后，可重新宣读其响应文件。若供应商现场未提出疑问，则认为供应商已确认采购人宣读的内容。 </w:t>
            </w:r>
          </w:p>
          <w:p w14:paraId="37FA9C7C">
            <w:pPr>
              <w:rPr>
                <w:rFonts w:ascii="仿宋" w:hAnsi="仿宋" w:eastAsia="仿宋"/>
                <w:kern w:val="0"/>
                <w:sz w:val="24"/>
                <w:szCs w:val="24"/>
              </w:rPr>
            </w:pPr>
            <w:r>
              <w:rPr>
                <w:rFonts w:hint="eastAsia" w:ascii="仿宋" w:hAnsi="仿宋" w:eastAsia="仿宋"/>
                <w:kern w:val="0"/>
                <w:sz w:val="24"/>
                <w:szCs w:val="24"/>
              </w:rPr>
              <w:t xml:space="preserve">11.3 开标异议 </w:t>
            </w:r>
          </w:p>
          <w:p w14:paraId="0FF77EA3">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 xml:space="preserve">供应商对开标有异议的，应在开标现场提出，采购人当场作出答复，并制作记录，有异议的供应商代表、采购人代表、记录人等有关人员在记录上签字确认。 </w:t>
            </w:r>
          </w:p>
          <w:p w14:paraId="5743CD45">
            <w:pPr>
              <w:ind w:firstLine="532" w:firstLineChars="221"/>
              <w:jc w:val="left"/>
              <w:rPr>
                <w:rFonts w:ascii="仿宋" w:hAnsi="仿宋" w:eastAsia="仿宋"/>
                <w:b/>
                <w:kern w:val="0"/>
                <w:sz w:val="24"/>
                <w:szCs w:val="24"/>
              </w:rPr>
            </w:pPr>
            <w:r>
              <w:rPr>
                <w:rFonts w:hint="eastAsia" w:ascii="仿宋" w:hAnsi="仿宋" w:eastAsia="仿宋"/>
                <w:b/>
                <w:kern w:val="0"/>
                <w:sz w:val="24"/>
                <w:szCs w:val="24"/>
              </w:rPr>
              <w:t>十二、评标流程</w:t>
            </w:r>
          </w:p>
          <w:p w14:paraId="4EE0CBF4">
            <w:pPr>
              <w:widowControl/>
              <w:jc w:val="left"/>
              <w:rPr>
                <w:rFonts w:ascii="仿宋" w:hAnsi="仿宋" w:eastAsia="仿宋"/>
                <w:kern w:val="0"/>
                <w:sz w:val="24"/>
                <w:szCs w:val="24"/>
              </w:rPr>
            </w:pPr>
            <w:bookmarkStart w:id="4" w:name="OLE_LINK5"/>
            <w:r>
              <w:rPr>
                <w:rFonts w:hint="eastAsia" w:ascii="仿宋" w:hAnsi="仿宋" w:eastAsia="仿宋"/>
                <w:kern w:val="0"/>
                <w:sz w:val="24"/>
                <w:szCs w:val="24"/>
              </w:rPr>
              <w:t>12</w:t>
            </w:r>
            <w:bookmarkEnd w:id="4"/>
            <w:r>
              <w:rPr>
                <w:rFonts w:hint="eastAsia" w:ascii="仿宋" w:hAnsi="仿宋" w:eastAsia="仿宋"/>
                <w:kern w:val="0"/>
                <w:sz w:val="24"/>
                <w:szCs w:val="24"/>
              </w:rPr>
              <w:t xml:space="preserve">.1 评审小组 </w:t>
            </w:r>
          </w:p>
          <w:p w14:paraId="02DF1FCD">
            <w:pPr>
              <w:widowControl/>
              <w:jc w:val="left"/>
              <w:rPr>
                <w:rFonts w:ascii="仿宋" w:hAnsi="仿宋" w:eastAsia="仿宋"/>
                <w:kern w:val="0"/>
                <w:sz w:val="24"/>
                <w:szCs w:val="24"/>
              </w:rPr>
            </w:pPr>
            <w:r>
              <w:rPr>
                <w:rFonts w:hint="eastAsia" w:ascii="仿宋" w:hAnsi="仿宋" w:eastAsia="仿宋"/>
                <w:kern w:val="0"/>
                <w:sz w:val="24"/>
                <w:szCs w:val="24"/>
              </w:rPr>
              <w:t>12</w:t>
            </w:r>
            <w:r>
              <w:rPr>
                <w:rFonts w:ascii="仿宋" w:hAnsi="仿宋" w:eastAsia="仿宋"/>
                <w:kern w:val="0"/>
                <w:sz w:val="24"/>
                <w:szCs w:val="24"/>
              </w:rPr>
              <w:t xml:space="preserve">.1.1 </w:t>
            </w:r>
            <w:r>
              <w:rPr>
                <w:rFonts w:hint="eastAsia" w:ascii="仿宋" w:hAnsi="仿宋" w:eastAsia="仿宋"/>
                <w:kern w:val="0"/>
                <w:sz w:val="24"/>
                <w:szCs w:val="24"/>
              </w:rPr>
              <w:t>评标由采购人依据内控制度组建的评审小组负责。</w:t>
            </w:r>
          </w:p>
          <w:p w14:paraId="2883D430">
            <w:pPr>
              <w:widowControl/>
              <w:jc w:val="left"/>
              <w:rPr>
                <w:rFonts w:ascii="仿宋" w:hAnsi="仿宋" w:eastAsia="仿宋"/>
                <w:kern w:val="0"/>
                <w:sz w:val="24"/>
                <w:szCs w:val="24"/>
              </w:rPr>
            </w:pPr>
            <w:r>
              <w:rPr>
                <w:rFonts w:hint="eastAsia" w:ascii="仿宋" w:hAnsi="仿宋" w:eastAsia="仿宋"/>
                <w:kern w:val="0"/>
                <w:sz w:val="24"/>
                <w:szCs w:val="24"/>
              </w:rPr>
              <w:t xml:space="preserve">12.2 评标原则 </w:t>
            </w:r>
          </w:p>
          <w:p w14:paraId="10B38699">
            <w:pPr>
              <w:widowControl/>
              <w:ind w:firstLine="480" w:firstLineChars="200"/>
              <w:jc w:val="left"/>
              <w:rPr>
                <w:rFonts w:ascii="仿宋" w:hAnsi="仿宋" w:eastAsia="仿宋"/>
                <w:kern w:val="0"/>
                <w:sz w:val="24"/>
                <w:szCs w:val="24"/>
              </w:rPr>
            </w:pPr>
            <w:r>
              <w:rPr>
                <w:rFonts w:hint="eastAsia" w:ascii="仿宋" w:hAnsi="仿宋" w:eastAsia="仿宋"/>
                <w:kern w:val="0"/>
                <w:sz w:val="24"/>
                <w:szCs w:val="24"/>
              </w:rPr>
              <w:t xml:space="preserve">评标活动遵循公平、公正、科学和择优的原则。 </w:t>
            </w:r>
          </w:p>
          <w:p w14:paraId="21877A19">
            <w:pPr>
              <w:widowControl/>
              <w:jc w:val="left"/>
              <w:rPr>
                <w:rFonts w:ascii="仿宋" w:hAnsi="仿宋" w:eastAsia="仿宋"/>
                <w:kern w:val="0"/>
                <w:sz w:val="24"/>
                <w:szCs w:val="24"/>
              </w:rPr>
            </w:pPr>
            <w:r>
              <w:rPr>
                <w:rFonts w:hint="eastAsia" w:ascii="仿宋" w:hAnsi="仿宋" w:eastAsia="仿宋"/>
                <w:kern w:val="0"/>
                <w:sz w:val="24"/>
                <w:szCs w:val="24"/>
              </w:rPr>
              <w:t xml:space="preserve">12.3 评标 </w:t>
            </w:r>
          </w:p>
          <w:p w14:paraId="1D38666D">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12</w:t>
            </w:r>
            <w:r>
              <w:rPr>
                <w:rFonts w:ascii="仿宋" w:hAnsi="仿宋" w:eastAsia="仿宋"/>
                <w:kern w:val="0"/>
                <w:sz w:val="24"/>
                <w:szCs w:val="24"/>
              </w:rPr>
              <w:t>.</w:t>
            </w:r>
            <w:r>
              <w:rPr>
                <w:rFonts w:hint="eastAsia" w:ascii="仿宋" w:hAnsi="仿宋" w:eastAsia="仿宋"/>
                <w:kern w:val="0"/>
                <w:sz w:val="24"/>
                <w:szCs w:val="24"/>
              </w:rPr>
              <w:t>3.1 在纪检监察室监督下，</w:t>
            </w:r>
            <w:bookmarkStart w:id="5" w:name="OLE_LINK6"/>
            <w:r>
              <w:rPr>
                <w:rFonts w:hint="eastAsia" w:ascii="仿宋" w:hAnsi="仿宋" w:eastAsia="仿宋"/>
                <w:kern w:val="0"/>
                <w:sz w:val="24"/>
                <w:szCs w:val="24"/>
              </w:rPr>
              <w:t>评审小组</w:t>
            </w:r>
            <w:bookmarkEnd w:id="5"/>
            <w:r>
              <w:rPr>
                <w:rFonts w:hint="eastAsia" w:ascii="仿宋" w:hAnsi="仿宋" w:eastAsia="仿宋"/>
                <w:kern w:val="0"/>
                <w:sz w:val="24"/>
                <w:szCs w:val="24"/>
              </w:rPr>
              <w:t>按照“邀请询价公告”规定的方法、评审因素、标准和程序对响应文件进行评审。</w:t>
            </w:r>
          </w:p>
          <w:p w14:paraId="69B4227B">
            <w:pPr>
              <w:widowControl/>
              <w:jc w:val="left"/>
              <w:rPr>
                <w:rFonts w:ascii="仿宋" w:hAnsi="仿宋" w:eastAsia="仿宋"/>
                <w:kern w:val="0"/>
                <w:sz w:val="24"/>
                <w:szCs w:val="24"/>
              </w:rPr>
            </w:pPr>
            <w:r>
              <w:rPr>
                <w:rFonts w:hint="eastAsia" w:ascii="仿宋" w:hAnsi="仿宋" w:eastAsia="仿宋"/>
                <w:kern w:val="0"/>
                <w:sz w:val="24"/>
                <w:szCs w:val="24"/>
              </w:rPr>
              <w:t xml:space="preserve">12.3.2若采购人发现响应文件出现以下任一情况，其投标报价将不再参加评标基准价的计算： </w:t>
            </w:r>
          </w:p>
          <w:p w14:paraId="536DBBFA">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1</w:t>
            </w:r>
            <w:r>
              <w:rPr>
                <w:rFonts w:hint="eastAsia" w:ascii="仿宋" w:hAnsi="仿宋" w:eastAsia="仿宋"/>
                <w:kern w:val="0"/>
                <w:sz w:val="24"/>
                <w:szCs w:val="24"/>
              </w:rPr>
              <w:t xml:space="preserve">）未在报价函上填写投标总价； </w:t>
            </w:r>
          </w:p>
          <w:p w14:paraId="030DFB11">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2</w:t>
            </w:r>
            <w:r>
              <w:rPr>
                <w:rFonts w:hint="eastAsia" w:ascii="仿宋" w:hAnsi="仿宋" w:eastAsia="仿宋"/>
                <w:kern w:val="0"/>
                <w:sz w:val="24"/>
                <w:szCs w:val="24"/>
              </w:rPr>
              <w:t xml:space="preserve">）投标报价超出采购人公布的最高投标限价（如有）； </w:t>
            </w:r>
          </w:p>
          <w:p w14:paraId="1E177AB5">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3</w:t>
            </w:r>
            <w:r>
              <w:rPr>
                <w:rFonts w:hint="eastAsia" w:ascii="仿宋" w:hAnsi="仿宋" w:eastAsia="仿宋"/>
                <w:kern w:val="0"/>
                <w:sz w:val="24"/>
                <w:szCs w:val="24"/>
              </w:rPr>
              <w:t xml:space="preserve">）投标报价的大写金额无法确定具体数值； </w:t>
            </w:r>
          </w:p>
          <w:p w14:paraId="215DCAAD">
            <w:pPr>
              <w:widowControl/>
              <w:jc w:val="left"/>
              <w:rPr>
                <w:rFonts w:ascii="仿宋" w:hAnsi="仿宋" w:eastAsia="仿宋"/>
                <w:kern w:val="0"/>
                <w:sz w:val="24"/>
                <w:szCs w:val="24"/>
              </w:rPr>
            </w:pPr>
            <w:r>
              <w:rPr>
                <w:rFonts w:hint="eastAsia" w:ascii="仿宋" w:hAnsi="仿宋" w:eastAsia="仿宋"/>
                <w:kern w:val="0"/>
                <w:sz w:val="24"/>
                <w:szCs w:val="24"/>
              </w:rPr>
              <w:t>（</w:t>
            </w:r>
            <w:r>
              <w:rPr>
                <w:rFonts w:ascii="仿宋" w:hAnsi="仿宋" w:eastAsia="仿宋"/>
                <w:kern w:val="0"/>
                <w:sz w:val="24"/>
                <w:szCs w:val="24"/>
              </w:rPr>
              <w:t>4</w:t>
            </w:r>
            <w:r>
              <w:rPr>
                <w:rFonts w:hint="eastAsia" w:ascii="仿宋" w:hAnsi="仿宋" w:eastAsia="仿宋"/>
                <w:kern w:val="0"/>
                <w:sz w:val="24"/>
                <w:szCs w:val="24"/>
              </w:rPr>
              <w:t xml:space="preserve">）报价函上填写的标段号与响应文件封套上标记的标段号不一致。 </w:t>
            </w:r>
          </w:p>
          <w:p w14:paraId="79EE6D07">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 xml:space="preserve">如果供应商认为某一标段的评标基准价计算有误，有权向采购人提出，经采购人当场核实确认之后，可重新宣布评标基准价。宣布的评标基准价除计算有误经评标委员会修正外，在整个评标期间保持不变，不随任何因素发生变化。 </w:t>
            </w:r>
          </w:p>
          <w:p w14:paraId="6383A4A5">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12.3.3 除开标现场被宣布为废标、不通过形式评审与响应性评审标准及资格评审的投标报价外，评审小组按照“邀请询价公告”规定的评标办法计算评标基准价，由采购管理部门进行宣布；</w:t>
            </w:r>
          </w:p>
          <w:p w14:paraId="2B812D31">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12.3.4评标完成后，评审小组现场填写《供应商响应文件评审情况确认表》，对评审情况进行签字确认，并填写《成交供应商推荐意见表》。向采购人提交书面评标报告和中标候选人名单，评审小组推荐中标候选人的人数为3人。</w:t>
            </w:r>
          </w:p>
          <w:p w14:paraId="32FB8C9D">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说明：整个评标过程各供应商离开现场前需告知采购人，否则造成供应商权益受损由供应商自行承担。</w:t>
            </w:r>
          </w:p>
          <w:p w14:paraId="3545ECBF">
            <w:pPr>
              <w:widowControl/>
              <w:jc w:val="left"/>
              <w:rPr>
                <w:rFonts w:ascii="仿宋" w:hAnsi="仿宋" w:eastAsia="仿宋"/>
                <w:b/>
                <w:kern w:val="0"/>
                <w:sz w:val="24"/>
                <w:szCs w:val="24"/>
              </w:rPr>
            </w:pPr>
            <w:r>
              <w:rPr>
                <w:rFonts w:hint="eastAsia" w:ascii="仿宋" w:hAnsi="仿宋" w:eastAsia="仿宋"/>
                <w:b/>
                <w:kern w:val="0"/>
                <w:sz w:val="24"/>
                <w:szCs w:val="24"/>
              </w:rPr>
              <w:t xml:space="preserve">十三、定标  </w:t>
            </w:r>
          </w:p>
          <w:p w14:paraId="5B1F56AD">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自行采购领导小组召开会议，审核评审小组提交的书面评标报告和中标候选人名单，并确定采购供应商，并现场填制《成交供应商确认签认表》。</w:t>
            </w:r>
          </w:p>
          <w:p w14:paraId="2A941007">
            <w:pPr>
              <w:rPr>
                <w:rFonts w:ascii="仿宋" w:hAnsi="仿宋" w:eastAsia="仿宋"/>
                <w:b/>
                <w:kern w:val="0"/>
                <w:sz w:val="24"/>
                <w:szCs w:val="24"/>
              </w:rPr>
            </w:pPr>
            <w:r>
              <w:rPr>
                <w:rFonts w:hint="eastAsia" w:ascii="仿宋" w:hAnsi="仿宋" w:eastAsia="仿宋"/>
                <w:b/>
                <w:kern w:val="0"/>
                <w:sz w:val="24"/>
                <w:szCs w:val="24"/>
              </w:rPr>
              <w:t xml:space="preserve">十四、采购结果公示 </w:t>
            </w:r>
          </w:p>
          <w:p w14:paraId="46205DA3">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14.1采购科室将采购结果在桂中公路发展中心门户网站进行公示，公示期为1个工作日。</w:t>
            </w:r>
          </w:p>
          <w:p w14:paraId="78EB2A3F">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14.2公示期满，公告无异议，采购科室负责向成交供应商以邮寄或其他方式送达成交通知书。</w:t>
            </w:r>
          </w:p>
          <w:p w14:paraId="58FFF027">
            <w:pPr>
              <w:rPr>
                <w:rFonts w:ascii="仿宋" w:hAnsi="仿宋" w:eastAsia="仿宋"/>
                <w:b/>
                <w:kern w:val="0"/>
                <w:sz w:val="24"/>
                <w:szCs w:val="24"/>
              </w:rPr>
            </w:pPr>
            <w:r>
              <w:rPr>
                <w:rFonts w:hint="eastAsia" w:ascii="仿宋" w:hAnsi="仿宋" w:eastAsia="仿宋"/>
                <w:b/>
                <w:kern w:val="0"/>
                <w:sz w:val="24"/>
                <w:szCs w:val="24"/>
              </w:rPr>
              <w:t>十五、重新组织询价的情形</w:t>
            </w:r>
          </w:p>
          <w:p w14:paraId="0E527BE9">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15.1符合实质响应条件的供应商不足3 家，应重新组织询价发布询价公告。</w:t>
            </w:r>
          </w:p>
          <w:p w14:paraId="3BFA5CD7">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15.2重新组织询价采购后，符合实质性响应的供应商仅有2家的，按最低报价或合理低价报价推荐为候选供应商；重新组织询价采购后，符合实质性响应的供应商仅有1家的，可直接推荐为候选供应商。</w:t>
            </w:r>
          </w:p>
          <w:p w14:paraId="0E065176">
            <w:pPr>
              <w:rPr>
                <w:rFonts w:ascii="仿宋" w:hAnsi="仿宋" w:eastAsia="仿宋"/>
                <w:b/>
                <w:kern w:val="0"/>
                <w:sz w:val="24"/>
                <w:szCs w:val="24"/>
              </w:rPr>
            </w:pPr>
            <w:r>
              <w:rPr>
                <w:rFonts w:hint="eastAsia" w:ascii="仿宋" w:hAnsi="仿宋" w:eastAsia="仿宋"/>
                <w:b/>
                <w:kern w:val="0"/>
                <w:sz w:val="24"/>
                <w:szCs w:val="24"/>
              </w:rPr>
              <w:t>十六、违约责任</w:t>
            </w:r>
          </w:p>
          <w:p w14:paraId="161CB7CB">
            <w:pPr>
              <w:widowControl/>
              <w:ind w:firstLine="240" w:firstLineChars="100"/>
              <w:jc w:val="left"/>
              <w:rPr>
                <w:rFonts w:ascii="仿宋" w:hAnsi="仿宋" w:eastAsia="仿宋"/>
                <w:kern w:val="0"/>
                <w:sz w:val="24"/>
                <w:szCs w:val="24"/>
              </w:rPr>
            </w:pPr>
            <w:r>
              <w:rPr>
                <w:rFonts w:hint="eastAsia" w:ascii="仿宋" w:hAnsi="仿宋" w:eastAsia="仿宋"/>
                <w:kern w:val="0"/>
                <w:sz w:val="24"/>
                <w:szCs w:val="24"/>
              </w:rPr>
              <w:t>桂中中心自行采购项目确定成交供应商后，除不可抗力因素外，成交供应商不得擅自放弃成交项目，否则，将不得再参与桂中中心本年度内的所有自行采购项目。</w:t>
            </w:r>
          </w:p>
          <w:p w14:paraId="5E40489C">
            <w:pPr>
              <w:widowControl/>
              <w:jc w:val="left"/>
              <w:rPr>
                <w:rFonts w:ascii="仿宋" w:hAnsi="仿宋" w:eastAsia="仿宋"/>
                <w:kern w:val="0"/>
                <w:sz w:val="24"/>
                <w:szCs w:val="24"/>
              </w:rPr>
            </w:pPr>
            <w:r>
              <w:rPr>
                <w:rFonts w:hint="eastAsia" w:ascii="仿宋" w:hAnsi="仿宋" w:eastAsia="仿宋"/>
                <w:b/>
                <w:kern w:val="0"/>
                <w:sz w:val="24"/>
                <w:szCs w:val="24"/>
              </w:rPr>
              <w:t>十七、评审方法和标准</w:t>
            </w:r>
            <w:r>
              <w:rPr>
                <w:rFonts w:hint="eastAsia" w:ascii="仿宋" w:hAnsi="仿宋" w:eastAsia="仿宋"/>
                <w:kern w:val="0"/>
                <w:sz w:val="24"/>
                <w:szCs w:val="24"/>
              </w:rPr>
              <w:br w:type="textWrapping"/>
            </w:r>
            <w:r>
              <w:rPr>
                <w:rFonts w:hint="eastAsia" w:ascii="仿宋" w:hAnsi="仿宋" w:eastAsia="仿宋"/>
                <w:kern w:val="0"/>
                <w:sz w:val="24"/>
                <w:szCs w:val="24"/>
              </w:rPr>
              <w:t xml:space="preserve">  按照合理低价评标方法确定成交供应商。</w:t>
            </w:r>
            <w:r>
              <w:rPr>
                <w:rFonts w:hint="eastAsia" w:ascii="仿宋" w:hAnsi="仿宋" w:eastAsia="仿宋"/>
                <w:kern w:val="0"/>
                <w:sz w:val="24"/>
                <w:szCs w:val="24"/>
              </w:rPr>
              <w:br w:type="textWrapping"/>
            </w:r>
            <w:r>
              <w:rPr>
                <w:rFonts w:hint="eastAsia" w:ascii="仿宋" w:hAnsi="仿宋" w:eastAsia="仿宋"/>
                <w:kern w:val="0"/>
                <w:sz w:val="24"/>
                <w:szCs w:val="24"/>
              </w:rPr>
              <w:t>（一）资格审查</w:t>
            </w:r>
            <w:r>
              <w:rPr>
                <w:rFonts w:hint="eastAsia" w:ascii="仿宋" w:hAnsi="仿宋" w:eastAsia="仿宋"/>
                <w:kern w:val="0"/>
                <w:sz w:val="24"/>
                <w:szCs w:val="24"/>
              </w:rPr>
              <w:br w:type="textWrapping"/>
            </w:r>
            <w:r>
              <w:rPr>
                <w:rFonts w:hint="eastAsia" w:ascii="仿宋" w:hAnsi="仿宋" w:eastAsia="仿宋"/>
                <w:kern w:val="0"/>
                <w:sz w:val="24"/>
                <w:szCs w:val="24"/>
              </w:rPr>
              <w:t>1、供应商响应文件递交结束后，采购人评审小组即对供应商递交的响应文件进行密封性审查，对有效报价文件资格审查。</w:t>
            </w:r>
            <w:r>
              <w:rPr>
                <w:rFonts w:hint="eastAsia" w:ascii="仿宋" w:hAnsi="仿宋" w:eastAsia="仿宋"/>
                <w:kern w:val="0"/>
                <w:sz w:val="24"/>
                <w:szCs w:val="24"/>
              </w:rPr>
              <w:br w:type="textWrapping"/>
            </w:r>
            <w:r>
              <w:rPr>
                <w:rFonts w:hint="eastAsia" w:ascii="仿宋" w:hAnsi="仿宋" w:eastAsia="仿宋"/>
                <w:kern w:val="0"/>
                <w:sz w:val="24"/>
                <w:szCs w:val="24"/>
              </w:rPr>
              <w:t>2、资格审查标准为本自行采购询价邀请公告文件中第二条第（二）款“供应商资格要求”及评标办法前附表“形式评审与响应性评审标准及资格评审标准”载明对供应商资格要求的条件。本项目资格审查采用合格制，凡不符合本自行采购询价邀请公告文件中第二条第（二）款“供应商资格要求”载明对供应商资格要求的供应商均不通过资格审查，作无效投标处理。</w:t>
            </w:r>
            <w:r>
              <w:rPr>
                <w:rFonts w:hint="eastAsia" w:ascii="仿宋" w:hAnsi="仿宋" w:eastAsia="仿宋"/>
                <w:kern w:val="0"/>
                <w:sz w:val="24"/>
                <w:szCs w:val="24"/>
              </w:rPr>
              <w:br w:type="textWrapping"/>
            </w:r>
            <w:r>
              <w:rPr>
                <w:rFonts w:hint="eastAsia" w:ascii="仿宋" w:hAnsi="仿宋" w:eastAsia="仿宋"/>
                <w:kern w:val="0"/>
                <w:sz w:val="24"/>
                <w:szCs w:val="24"/>
              </w:rPr>
              <w:t>（二）评审因素与标准</w:t>
            </w:r>
          </w:p>
        </w:tc>
      </w:tr>
      <w:tr w14:paraId="2613F538">
        <w:tblPrEx>
          <w:tblCellMar>
            <w:top w:w="0" w:type="dxa"/>
            <w:left w:w="108" w:type="dxa"/>
            <w:bottom w:w="0" w:type="dxa"/>
            <w:right w:w="108" w:type="dxa"/>
          </w:tblCellMar>
        </w:tblPrEx>
        <w:trPr>
          <w:gridAfter w:val="5"/>
          <w:wAfter w:w="2220" w:type="dxa"/>
          <w:trHeight w:val="510" w:hRule="atLeast"/>
        </w:trPr>
        <w:tc>
          <w:tcPr>
            <w:tcW w:w="10422" w:type="dxa"/>
            <w:gridSpan w:val="5"/>
            <w:tcBorders>
              <w:top w:val="nil"/>
              <w:left w:val="nil"/>
              <w:bottom w:val="nil"/>
              <w:right w:val="nil"/>
            </w:tcBorders>
            <w:noWrap/>
            <w:vAlign w:val="center"/>
          </w:tcPr>
          <w:p w14:paraId="2CD292C5">
            <w:pPr>
              <w:widowControl/>
              <w:jc w:val="center"/>
              <w:rPr>
                <w:rFonts w:hint="eastAsia" w:ascii="仿宋" w:hAnsi="仿宋" w:eastAsia="仿宋"/>
                <w:kern w:val="0"/>
                <w:sz w:val="24"/>
                <w:szCs w:val="24"/>
              </w:rPr>
            </w:pPr>
          </w:p>
          <w:p w14:paraId="2F7FF8BF">
            <w:pPr>
              <w:widowControl/>
              <w:jc w:val="center"/>
              <w:rPr>
                <w:rFonts w:hint="eastAsia" w:ascii="仿宋" w:hAnsi="仿宋" w:eastAsia="仿宋"/>
                <w:kern w:val="0"/>
                <w:sz w:val="24"/>
                <w:szCs w:val="24"/>
              </w:rPr>
            </w:pPr>
          </w:p>
          <w:p w14:paraId="0D4A8A8C">
            <w:pPr>
              <w:widowControl/>
              <w:jc w:val="center"/>
              <w:rPr>
                <w:rFonts w:hint="eastAsia" w:ascii="仿宋" w:hAnsi="仿宋" w:eastAsia="仿宋"/>
                <w:kern w:val="0"/>
                <w:sz w:val="24"/>
                <w:szCs w:val="24"/>
              </w:rPr>
            </w:pPr>
          </w:p>
          <w:p w14:paraId="3659D785">
            <w:pPr>
              <w:widowControl/>
              <w:jc w:val="center"/>
              <w:rPr>
                <w:rFonts w:hint="eastAsia" w:ascii="仿宋" w:hAnsi="仿宋" w:eastAsia="仿宋"/>
                <w:kern w:val="0"/>
                <w:sz w:val="24"/>
                <w:szCs w:val="24"/>
              </w:rPr>
            </w:pPr>
          </w:p>
          <w:p w14:paraId="131F70A4">
            <w:pPr>
              <w:widowControl/>
              <w:jc w:val="center"/>
              <w:rPr>
                <w:rFonts w:hint="eastAsia" w:ascii="仿宋" w:hAnsi="仿宋" w:eastAsia="仿宋"/>
                <w:kern w:val="0"/>
                <w:sz w:val="24"/>
                <w:szCs w:val="24"/>
              </w:rPr>
            </w:pPr>
          </w:p>
          <w:p w14:paraId="446A66F2">
            <w:pPr>
              <w:widowControl/>
              <w:jc w:val="center"/>
              <w:rPr>
                <w:rFonts w:hint="eastAsia" w:ascii="仿宋" w:hAnsi="仿宋" w:eastAsia="仿宋"/>
                <w:kern w:val="0"/>
                <w:sz w:val="24"/>
                <w:szCs w:val="24"/>
              </w:rPr>
            </w:pPr>
          </w:p>
          <w:p w14:paraId="469665C6">
            <w:pPr>
              <w:widowControl/>
              <w:jc w:val="center"/>
              <w:rPr>
                <w:rFonts w:hint="eastAsia" w:ascii="仿宋" w:hAnsi="仿宋" w:eastAsia="仿宋"/>
                <w:kern w:val="0"/>
                <w:sz w:val="24"/>
                <w:szCs w:val="24"/>
              </w:rPr>
            </w:pPr>
          </w:p>
          <w:p w14:paraId="0005CD7A">
            <w:pPr>
              <w:widowControl/>
              <w:jc w:val="center"/>
              <w:rPr>
                <w:rFonts w:hint="eastAsia" w:ascii="仿宋" w:hAnsi="仿宋" w:eastAsia="仿宋"/>
                <w:kern w:val="0"/>
                <w:sz w:val="24"/>
                <w:szCs w:val="24"/>
              </w:rPr>
            </w:pPr>
          </w:p>
          <w:p w14:paraId="54C644C8">
            <w:pPr>
              <w:widowControl/>
              <w:jc w:val="center"/>
              <w:rPr>
                <w:rFonts w:hint="eastAsia" w:ascii="仿宋" w:hAnsi="仿宋" w:eastAsia="仿宋"/>
                <w:kern w:val="0"/>
                <w:sz w:val="24"/>
                <w:szCs w:val="24"/>
              </w:rPr>
            </w:pPr>
          </w:p>
          <w:p w14:paraId="43912E4C">
            <w:pPr>
              <w:widowControl/>
              <w:jc w:val="center"/>
              <w:rPr>
                <w:rFonts w:hint="eastAsia" w:ascii="仿宋" w:hAnsi="仿宋" w:eastAsia="仿宋"/>
                <w:kern w:val="0"/>
                <w:sz w:val="24"/>
                <w:szCs w:val="24"/>
              </w:rPr>
            </w:pPr>
          </w:p>
          <w:p w14:paraId="285F0190">
            <w:pPr>
              <w:widowControl/>
              <w:jc w:val="center"/>
              <w:rPr>
                <w:rFonts w:hint="eastAsia" w:ascii="仿宋" w:hAnsi="仿宋" w:eastAsia="仿宋"/>
                <w:kern w:val="0"/>
                <w:sz w:val="24"/>
                <w:szCs w:val="24"/>
              </w:rPr>
            </w:pPr>
          </w:p>
          <w:p w14:paraId="5BC33899">
            <w:pPr>
              <w:widowControl/>
              <w:jc w:val="center"/>
              <w:rPr>
                <w:rFonts w:hint="eastAsia" w:ascii="仿宋" w:hAnsi="仿宋" w:eastAsia="仿宋"/>
                <w:kern w:val="0"/>
                <w:sz w:val="24"/>
                <w:szCs w:val="24"/>
              </w:rPr>
            </w:pPr>
          </w:p>
          <w:p w14:paraId="447300BC">
            <w:pPr>
              <w:widowControl/>
              <w:jc w:val="center"/>
              <w:rPr>
                <w:rFonts w:hint="eastAsia" w:ascii="仿宋" w:hAnsi="仿宋" w:eastAsia="仿宋"/>
                <w:kern w:val="0"/>
                <w:sz w:val="24"/>
                <w:szCs w:val="24"/>
              </w:rPr>
            </w:pPr>
          </w:p>
          <w:p w14:paraId="6E11E8A5">
            <w:pPr>
              <w:widowControl/>
              <w:jc w:val="center"/>
              <w:rPr>
                <w:rFonts w:hint="eastAsia" w:ascii="仿宋" w:hAnsi="仿宋" w:eastAsia="仿宋"/>
                <w:kern w:val="0"/>
                <w:sz w:val="24"/>
                <w:szCs w:val="24"/>
              </w:rPr>
            </w:pPr>
          </w:p>
          <w:p w14:paraId="2442E459">
            <w:pPr>
              <w:widowControl/>
              <w:jc w:val="center"/>
              <w:rPr>
                <w:rFonts w:hint="eastAsia" w:ascii="仿宋" w:hAnsi="仿宋" w:eastAsia="仿宋"/>
                <w:kern w:val="0"/>
                <w:sz w:val="24"/>
                <w:szCs w:val="24"/>
              </w:rPr>
            </w:pPr>
          </w:p>
          <w:p w14:paraId="1DFFA477">
            <w:pPr>
              <w:widowControl/>
              <w:jc w:val="center"/>
              <w:rPr>
                <w:rFonts w:hint="eastAsia" w:ascii="仿宋" w:hAnsi="仿宋" w:eastAsia="仿宋"/>
                <w:kern w:val="0"/>
                <w:sz w:val="24"/>
                <w:szCs w:val="24"/>
              </w:rPr>
            </w:pPr>
          </w:p>
          <w:p w14:paraId="469A8DD3">
            <w:pPr>
              <w:widowControl/>
              <w:jc w:val="center"/>
              <w:rPr>
                <w:rFonts w:hint="eastAsia" w:ascii="仿宋" w:hAnsi="仿宋" w:eastAsia="仿宋"/>
                <w:kern w:val="0"/>
                <w:sz w:val="24"/>
                <w:szCs w:val="24"/>
              </w:rPr>
            </w:pPr>
          </w:p>
          <w:p w14:paraId="1FA2F32D">
            <w:pPr>
              <w:widowControl/>
              <w:jc w:val="center"/>
              <w:rPr>
                <w:rFonts w:hint="eastAsia" w:ascii="仿宋" w:hAnsi="仿宋" w:eastAsia="仿宋"/>
                <w:kern w:val="0"/>
                <w:sz w:val="24"/>
                <w:szCs w:val="24"/>
              </w:rPr>
            </w:pPr>
          </w:p>
          <w:p w14:paraId="0AD32522">
            <w:pPr>
              <w:widowControl/>
              <w:jc w:val="center"/>
              <w:rPr>
                <w:rFonts w:hint="eastAsia" w:ascii="仿宋" w:hAnsi="仿宋" w:eastAsia="仿宋"/>
                <w:kern w:val="0"/>
                <w:sz w:val="24"/>
                <w:szCs w:val="24"/>
              </w:rPr>
            </w:pPr>
          </w:p>
          <w:p w14:paraId="68585E11">
            <w:pPr>
              <w:widowControl/>
              <w:jc w:val="center"/>
              <w:rPr>
                <w:rFonts w:hint="eastAsia" w:ascii="仿宋" w:hAnsi="仿宋" w:eastAsia="仿宋"/>
                <w:kern w:val="0"/>
                <w:sz w:val="24"/>
                <w:szCs w:val="24"/>
              </w:rPr>
            </w:pPr>
          </w:p>
          <w:p w14:paraId="6EE1E15E">
            <w:pPr>
              <w:widowControl/>
              <w:jc w:val="center"/>
              <w:rPr>
                <w:rFonts w:hint="eastAsia" w:ascii="仿宋" w:hAnsi="仿宋" w:eastAsia="仿宋"/>
                <w:kern w:val="0"/>
                <w:sz w:val="24"/>
                <w:szCs w:val="24"/>
              </w:rPr>
            </w:pPr>
          </w:p>
          <w:p w14:paraId="17B43F1B">
            <w:pPr>
              <w:widowControl/>
              <w:jc w:val="center"/>
              <w:rPr>
                <w:rFonts w:hint="eastAsia" w:ascii="仿宋" w:hAnsi="仿宋" w:eastAsia="仿宋"/>
                <w:kern w:val="0"/>
                <w:sz w:val="24"/>
                <w:szCs w:val="24"/>
              </w:rPr>
            </w:pPr>
          </w:p>
          <w:p w14:paraId="275C8E0C">
            <w:pPr>
              <w:widowControl/>
              <w:jc w:val="center"/>
              <w:rPr>
                <w:rFonts w:hint="eastAsia" w:ascii="仿宋" w:hAnsi="仿宋" w:eastAsia="仿宋"/>
                <w:kern w:val="0"/>
                <w:sz w:val="24"/>
                <w:szCs w:val="24"/>
              </w:rPr>
            </w:pPr>
          </w:p>
          <w:p w14:paraId="7DBB8691">
            <w:pPr>
              <w:widowControl/>
              <w:jc w:val="center"/>
              <w:rPr>
                <w:rFonts w:hint="eastAsia" w:ascii="仿宋" w:hAnsi="仿宋" w:eastAsia="仿宋"/>
                <w:kern w:val="0"/>
                <w:sz w:val="24"/>
                <w:szCs w:val="24"/>
              </w:rPr>
            </w:pPr>
          </w:p>
          <w:p w14:paraId="3589E302">
            <w:pPr>
              <w:widowControl/>
              <w:jc w:val="center"/>
              <w:rPr>
                <w:rFonts w:hint="eastAsia" w:ascii="仿宋" w:hAnsi="仿宋" w:eastAsia="仿宋"/>
                <w:kern w:val="0"/>
                <w:sz w:val="24"/>
                <w:szCs w:val="24"/>
              </w:rPr>
            </w:pPr>
          </w:p>
          <w:p w14:paraId="154F2FD5">
            <w:pPr>
              <w:widowControl/>
              <w:jc w:val="center"/>
              <w:rPr>
                <w:rFonts w:hint="eastAsia" w:ascii="仿宋" w:hAnsi="仿宋" w:eastAsia="仿宋"/>
                <w:kern w:val="0"/>
                <w:sz w:val="24"/>
                <w:szCs w:val="24"/>
              </w:rPr>
            </w:pPr>
          </w:p>
          <w:p w14:paraId="0E887674">
            <w:pPr>
              <w:widowControl/>
              <w:jc w:val="center"/>
              <w:rPr>
                <w:rFonts w:ascii="仿宋" w:hAnsi="仿宋" w:eastAsia="仿宋" w:cs="Times New Roman"/>
                <w:kern w:val="0"/>
                <w:sz w:val="24"/>
                <w:szCs w:val="24"/>
              </w:rPr>
            </w:pPr>
            <w:bookmarkStart w:id="8" w:name="_GoBack"/>
            <w:bookmarkEnd w:id="8"/>
            <w:r>
              <w:rPr>
                <w:rFonts w:hint="eastAsia" w:ascii="仿宋" w:hAnsi="仿宋" w:eastAsia="仿宋"/>
                <w:kern w:val="0"/>
                <w:sz w:val="24"/>
                <w:szCs w:val="24"/>
              </w:rPr>
              <w:t>评标办法前附表</w:t>
            </w:r>
          </w:p>
        </w:tc>
        <w:tc>
          <w:tcPr>
            <w:tcW w:w="236" w:type="dxa"/>
            <w:gridSpan w:val="3"/>
            <w:tcBorders>
              <w:top w:val="nil"/>
              <w:left w:val="nil"/>
              <w:bottom w:val="nil"/>
              <w:right w:val="nil"/>
            </w:tcBorders>
          </w:tcPr>
          <w:p w14:paraId="1397F176">
            <w:pPr>
              <w:widowControl/>
              <w:jc w:val="left"/>
              <w:rPr>
                <w:rFonts w:ascii="仿宋" w:hAnsi="仿宋" w:eastAsia="仿宋" w:cs="Times New Roman"/>
                <w:kern w:val="0"/>
                <w:sz w:val="24"/>
                <w:szCs w:val="24"/>
              </w:rPr>
            </w:pPr>
          </w:p>
        </w:tc>
      </w:tr>
      <w:tr w14:paraId="601CAE5C">
        <w:tblPrEx>
          <w:tblCellMar>
            <w:top w:w="0" w:type="dxa"/>
            <w:left w:w="108" w:type="dxa"/>
            <w:bottom w:w="0" w:type="dxa"/>
            <w:right w:w="108" w:type="dxa"/>
          </w:tblCellMar>
        </w:tblPrEx>
        <w:trPr>
          <w:gridAfter w:val="5"/>
          <w:wAfter w:w="2220" w:type="dxa"/>
          <w:trHeight w:val="510" w:hRule="atLeast"/>
        </w:trPr>
        <w:tc>
          <w:tcPr>
            <w:tcW w:w="1417" w:type="dxa"/>
            <w:tcBorders>
              <w:top w:val="single" w:color="auto" w:sz="4" w:space="0"/>
              <w:left w:val="single" w:color="auto" w:sz="4" w:space="0"/>
              <w:bottom w:val="single" w:color="auto" w:sz="4" w:space="0"/>
              <w:right w:val="single" w:color="auto" w:sz="4" w:space="0"/>
            </w:tcBorders>
            <w:vAlign w:val="center"/>
          </w:tcPr>
          <w:p w14:paraId="3B5C82D6">
            <w:pPr>
              <w:widowControl/>
              <w:jc w:val="left"/>
              <w:rPr>
                <w:rFonts w:ascii="仿宋" w:hAnsi="仿宋" w:eastAsia="仿宋" w:cs="Times New Roman"/>
                <w:kern w:val="0"/>
                <w:sz w:val="24"/>
                <w:szCs w:val="24"/>
              </w:rPr>
            </w:pPr>
            <w:r>
              <w:rPr>
                <w:rFonts w:hint="eastAsia" w:ascii="仿宋" w:hAnsi="仿宋" w:eastAsia="仿宋"/>
                <w:kern w:val="0"/>
                <w:sz w:val="24"/>
                <w:szCs w:val="24"/>
              </w:rPr>
              <w:t>条款</w:t>
            </w:r>
          </w:p>
        </w:tc>
        <w:tc>
          <w:tcPr>
            <w:tcW w:w="9005" w:type="dxa"/>
            <w:gridSpan w:val="4"/>
            <w:tcBorders>
              <w:top w:val="single" w:color="auto" w:sz="4" w:space="0"/>
              <w:left w:val="nil"/>
              <w:bottom w:val="single" w:color="auto" w:sz="4" w:space="0"/>
              <w:right w:val="single" w:color="auto" w:sz="4" w:space="0"/>
            </w:tcBorders>
            <w:vAlign w:val="center"/>
          </w:tcPr>
          <w:p w14:paraId="55BA0826">
            <w:pPr>
              <w:widowControl/>
              <w:jc w:val="center"/>
              <w:rPr>
                <w:rFonts w:ascii="仿宋" w:hAnsi="仿宋" w:eastAsia="仿宋" w:cs="Times New Roman"/>
                <w:kern w:val="0"/>
                <w:sz w:val="24"/>
                <w:szCs w:val="24"/>
              </w:rPr>
            </w:pPr>
            <w:r>
              <w:rPr>
                <w:rFonts w:hint="eastAsia" w:ascii="仿宋" w:hAnsi="仿宋" w:eastAsia="仿宋"/>
                <w:kern w:val="0"/>
                <w:sz w:val="24"/>
                <w:szCs w:val="24"/>
              </w:rPr>
              <w:t>评审因素与标准</w:t>
            </w:r>
          </w:p>
        </w:tc>
        <w:tc>
          <w:tcPr>
            <w:tcW w:w="236" w:type="dxa"/>
            <w:gridSpan w:val="3"/>
            <w:tcBorders>
              <w:top w:val="nil"/>
              <w:left w:val="nil"/>
              <w:bottom w:val="nil"/>
              <w:right w:val="nil"/>
            </w:tcBorders>
          </w:tcPr>
          <w:p w14:paraId="095A5204">
            <w:pPr>
              <w:widowControl/>
              <w:jc w:val="left"/>
              <w:rPr>
                <w:rFonts w:ascii="仿宋" w:hAnsi="仿宋" w:eastAsia="仿宋" w:cs="Times New Roman"/>
                <w:kern w:val="0"/>
                <w:sz w:val="24"/>
                <w:szCs w:val="24"/>
              </w:rPr>
            </w:pPr>
          </w:p>
        </w:tc>
      </w:tr>
      <w:tr w14:paraId="7CA6E2C1">
        <w:tblPrEx>
          <w:tblCellMar>
            <w:top w:w="0" w:type="dxa"/>
            <w:left w:w="108" w:type="dxa"/>
            <w:bottom w:w="0" w:type="dxa"/>
            <w:right w:w="108" w:type="dxa"/>
          </w:tblCellMar>
        </w:tblPrEx>
        <w:trPr>
          <w:gridAfter w:val="5"/>
          <w:wAfter w:w="2220" w:type="dxa"/>
          <w:trHeight w:val="1740" w:hRule="atLeast"/>
        </w:trPr>
        <w:tc>
          <w:tcPr>
            <w:tcW w:w="1417" w:type="dxa"/>
            <w:tcBorders>
              <w:top w:val="nil"/>
              <w:left w:val="single" w:color="auto" w:sz="4" w:space="0"/>
              <w:bottom w:val="single" w:color="auto" w:sz="4" w:space="0"/>
              <w:right w:val="single" w:color="auto" w:sz="4" w:space="0"/>
            </w:tcBorders>
            <w:vAlign w:val="center"/>
          </w:tcPr>
          <w:p w14:paraId="0A78BC82">
            <w:pPr>
              <w:widowControl/>
              <w:jc w:val="left"/>
              <w:rPr>
                <w:rFonts w:ascii="仿宋" w:hAnsi="仿宋" w:eastAsia="仿宋" w:cs="Times New Roman"/>
                <w:kern w:val="0"/>
                <w:sz w:val="24"/>
                <w:szCs w:val="24"/>
              </w:rPr>
            </w:pPr>
            <w:r>
              <w:rPr>
                <w:rFonts w:hint="eastAsia" w:ascii="仿宋" w:hAnsi="仿宋" w:eastAsia="仿宋"/>
                <w:kern w:val="0"/>
                <w:sz w:val="24"/>
                <w:szCs w:val="24"/>
              </w:rPr>
              <w:t>1</w:t>
            </w:r>
          </w:p>
        </w:tc>
        <w:tc>
          <w:tcPr>
            <w:tcW w:w="1634" w:type="dxa"/>
            <w:gridSpan w:val="2"/>
            <w:tcBorders>
              <w:top w:val="nil"/>
              <w:left w:val="nil"/>
              <w:bottom w:val="single" w:color="auto" w:sz="4" w:space="0"/>
              <w:right w:val="single" w:color="auto" w:sz="4" w:space="0"/>
            </w:tcBorders>
            <w:vAlign w:val="center"/>
          </w:tcPr>
          <w:p w14:paraId="7A10ED97">
            <w:pPr>
              <w:widowControl/>
              <w:jc w:val="center"/>
              <w:rPr>
                <w:rFonts w:ascii="仿宋" w:hAnsi="仿宋" w:eastAsia="仿宋" w:cs="Times New Roman"/>
                <w:kern w:val="0"/>
                <w:sz w:val="24"/>
                <w:szCs w:val="24"/>
              </w:rPr>
            </w:pPr>
            <w:r>
              <w:rPr>
                <w:rFonts w:hint="eastAsia" w:ascii="仿宋" w:hAnsi="仿宋" w:eastAsia="仿宋"/>
                <w:kern w:val="0"/>
                <w:sz w:val="24"/>
                <w:szCs w:val="24"/>
              </w:rPr>
              <w:t>评标办法</w:t>
            </w:r>
          </w:p>
        </w:tc>
        <w:tc>
          <w:tcPr>
            <w:tcW w:w="7371" w:type="dxa"/>
            <w:gridSpan w:val="2"/>
            <w:tcBorders>
              <w:top w:val="single" w:color="auto" w:sz="4" w:space="0"/>
              <w:left w:val="nil"/>
              <w:bottom w:val="single" w:color="auto" w:sz="4" w:space="0"/>
              <w:right w:val="single" w:color="auto" w:sz="4" w:space="0"/>
            </w:tcBorders>
            <w:vAlign w:val="center"/>
          </w:tcPr>
          <w:p w14:paraId="0AFD3C95">
            <w:pPr>
              <w:widowControl/>
              <w:jc w:val="left"/>
              <w:rPr>
                <w:rFonts w:ascii="仿宋" w:hAnsi="仿宋" w:eastAsia="仿宋" w:cs="Times New Roman"/>
                <w:kern w:val="0"/>
                <w:sz w:val="24"/>
                <w:szCs w:val="24"/>
              </w:rPr>
            </w:pPr>
            <w:r>
              <w:rPr>
                <w:rFonts w:hint="eastAsia" w:ascii="仿宋" w:hAnsi="仿宋" w:eastAsia="仿宋"/>
                <w:kern w:val="0"/>
                <w:sz w:val="24"/>
                <w:szCs w:val="24"/>
              </w:rPr>
              <w:t>本次评标采用合理低价法。评审小组对满足询价邀请公告实质要求的响应文件，根据本表第2.2款规定的评分标准进行打分，根据得分情况按照本中心机关自行性采购管理实施办法由高到低顺序推荐供应商候选人及成交供应商。</w:t>
            </w:r>
          </w:p>
        </w:tc>
        <w:tc>
          <w:tcPr>
            <w:tcW w:w="236" w:type="dxa"/>
            <w:gridSpan w:val="3"/>
            <w:tcBorders>
              <w:top w:val="nil"/>
              <w:left w:val="nil"/>
              <w:bottom w:val="nil"/>
              <w:right w:val="nil"/>
            </w:tcBorders>
          </w:tcPr>
          <w:p w14:paraId="021DB887">
            <w:pPr>
              <w:widowControl/>
              <w:jc w:val="left"/>
              <w:rPr>
                <w:rFonts w:ascii="仿宋" w:hAnsi="仿宋" w:eastAsia="仿宋" w:cs="Times New Roman"/>
                <w:kern w:val="0"/>
                <w:sz w:val="24"/>
                <w:szCs w:val="24"/>
              </w:rPr>
            </w:pPr>
          </w:p>
        </w:tc>
      </w:tr>
      <w:tr w14:paraId="66C2D688">
        <w:tblPrEx>
          <w:tblCellMar>
            <w:top w:w="0" w:type="dxa"/>
            <w:left w:w="108" w:type="dxa"/>
            <w:bottom w:w="0" w:type="dxa"/>
            <w:right w:w="108" w:type="dxa"/>
          </w:tblCellMar>
        </w:tblPrEx>
        <w:trPr>
          <w:gridAfter w:val="5"/>
          <w:wAfter w:w="2220" w:type="dxa"/>
          <w:trHeight w:val="7658" w:hRule="atLeast"/>
        </w:trPr>
        <w:tc>
          <w:tcPr>
            <w:tcW w:w="1417" w:type="dxa"/>
            <w:tcBorders>
              <w:top w:val="nil"/>
              <w:left w:val="single" w:color="auto" w:sz="4" w:space="0"/>
              <w:bottom w:val="single" w:color="auto" w:sz="4" w:space="0"/>
              <w:right w:val="single" w:color="auto" w:sz="4" w:space="0"/>
            </w:tcBorders>
            <w:vAlign w:val="center"/>
          </w:tcPr>
          <w:p w14:paraId="197CA96D">
            <w:pPr>
              <w:widowControl/>
              <w:jc w:val="left"/>
              <w:rPr>
                <w:rFonts w:ascii="仿宋" w:hAnsi="仿宋" w:eastAsia="仿宋" w:cs="Times New Roman"/>
                <w:kern w:val="0"/>
                <w:sz w:val="24"/>
                <w:szCs w:val="24"/>
              </w:rPr>
            </w:pPr>
            <w:r>
              <w:rPr>
                <w:rFonts w:hint="eastAsia" w:ascii="仿宋" w:hAnsi="仿宋" w:eastAsia="仿宋"/>
                <w:kern w:val="0"/>
                <w:sz w:val="24"/>
                <w:szCs w:val="24"/>
              </w:rPr>
              <w:t>2.1.1</w:t>
            </w:r>
            <w:r>
              <w:rPr>
                <w:rFonts w:hint="eastAsia" w:ascii="仿宋" w:hAnsi="仿宋" w:eastAsia="仿宋"/>
                <w:kern w:val="0"/>
                <w:sz w:val="24"/>
                <w:szCs w:val="24"/>
              </w:rPr>
              <w:br w:type="page"/>
            </w:r>
            <w:r>
              <w:rPr>
                <w:rFonts w:hint="eastAsia" w:ascii="仿宋" w:hAnsi="仿宋" w:eastAsia="仿宋"/>
                <w:kern w:val="0"/>
                <w:sz w:val="24"/>
                <w:szCs w:val="24"/>
              </w:rPr>
              <w:t>2.1.2</w:t>
            </w:r>
          </w:p>
        </w:tc>
        <w:tc>
          <w:tcPr>
            <w:tcW w:w="1634" w:type="dxa"/>
            <w:gridSpan w:val="2"/>
            <w:tcBorders>
              <w:top w:val="nil"/>
              <w:left w:val="nil"/>
              <w:bottom w:val="single" w:color="auto" w:sz="4" w:space="0"/>
              <w:right w:val="single" w:color="auto" w:sz="4" w:space="0"/>
            </w:tcBorders>
            <w:vAlign w:val="center"/>
          </w:tcPr>
          <w:p w14:paraId="7B4CD885">
            <w:pPr>
              <w:widowControl/>
              <w:jc w:val="center"/>
              <w:rPr>
                <w:rFonts w:ascii="仿宋" w:hAnsi="仿宋" w:eastAsia="仿宋" w:cs="Times New Roman"/>
                <w:kern w:val="0"/>
                <w:sz w:val="24"/>
                <w:szCs w:val="24"/>
              </w:rPr>
            </w:pPr>
            <w:r>
              <w:rPr>
                <w:rFonts w:hint="eastAsia" w:ascii="仿宋" w:hAnsi="仿宋" w:eastAsia="仿宋"/>
                <w:kern w:val="0"/>
                <w:sz w:val="24"/>
                <w:szCs w:val="24"/>
              </w:rPr>
              <w:t>形式评审与响应性评审标准</w:t>
            </w:r>
          </w:p>
        </w:tc>
        <w:tc>
          <w:tcPr>
            <w:tcW w:w="7371" w:type="dxa"/>
            <w:gridSpan w:val="2"/>
            <w:tcBorders>
              <w:top w:val="single" w:color="auto" w:sz="4" w:space="0"/>
              <w:left w:val="nil"/>
              <w:bottom w:val="single" w:color="auto" w:sz="4" w:space="0"/>
              <w:right w:val="single" w:color="000000" w:sz="4" w:space="0"/>
            </w:tcBorders>
            <w:vAlign w:val="center"/>
          </w:tcPr>
          <w:p w14:paraId="1AE085E2">
            <w:pPr>
              <w:widowControl/>
              <w:numPr>
                <w:ilvl w:val="0"/>
                <w:numId w:val="1"/>
              </w:numPr>
              <w:jc w:val="left"/>
              <w:rPr>
                <w:rFonts w:ascii="仿宋" w:hAnsi="仿宋" w:eastAsia="仿宋" w:cs="Times New Roman"/>
                <w:b/>
                <w:bCs/>
                <w:kern w:val="0"/>
                <w:sz w:val="24"/>
                <w:szCs w:val="24"/>
              </w:rPr>
            </w:pPr>
            <w:r>
              <w:rPr>
                <w:rFonts w:hint="eastAsia" w:ascii="仿宋" w:hAnsi="仿宋" w:eastAsia="仿宋"/>
                <w:b/>
                <w:bCs/>
                <w:kern w:val="0"/>
                <w:sz w:val="24"/>
                <w:szCs w:val="24"/>
              </w:rPr>
              <w:t>商务和技术文件</w:t>
            </w:r>
          </w:p>
          <w:p w14:paraId="7BC3C045">
            <w:pPr>
              <w:widowControl/>
              <w:numPr>
                <w:ilvl w:val="0"/>
                <w:numId w:val="2"/>
              </w:numPr>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响应文件按照询价邀请公告规定的格式、内容填写，字迹清晰可辨：</w:t>
            </w:r>
            <w:r>
              <w:rPr>
                <w:rFonts w:hint="eastAsia" w:ascii="仿宋" w:hAnsi="仿宋" w:eastAsia="仿宋" w:cs="Times New Roman"/>
                <w:kern w:val="0"/>
                <w:sz w:val="24"/>
                <w:szCs w:val="24"/>
              </w:rPr>
              <w:br w:type="page"/>
            </w:r>
            <w:r>
              <w:rPr>
                <w:rFonts w:hint="eastAsia" w:ascii="仿宋" w:hAnsi="仿宋" w:eastAsia="仿宋"/>
                <w:kern w:val="0"/>
                <w:sz w:val="24"/>
                <w:szCs w:val="24"/>
              </w:rPr>
              <w:t>a.报价函按询价邀请公告规定填报了工期、安全及工程质量目标；报价函中询价项目名称标注无误，或报价函中标段号标注无误（报价函中标段号与响应文件包封封套上标注标段或与响应文件封面上标注标段一致）；</w:t>
            </w:r>
          </w:p>
          <w:p w14:paraId="165424EB">
            <w:pPr>
              <w:widowControl/>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b.报价函所有数据均符合询价邀请公告规定；</w:t>
            </w:r>
          </w:p>
          <w:p w14:paraId="68C0196F">
            <w:pPr>
              <w:widowControl/>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c.响应文件组成齐全完整，内容均按规定填写。</w:t>
            </w:r>
          </w:p>
          <w:p w14:paraId="3F660762">
            <w:pPr>
              <w:widowControl/>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（2）响应文件上法定代表人或其授权代理人的签字、供应商的单位盖章齐全，符合询价邀请公告规定：</w:t>
            </w:r>
          </w:p>
          <w:p w14:paraId="5BF88066">
            <w:pPr>
              <w:widowControl/>
              <w:ind w:firstLine="240" w:firstLineChars="100"/>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报价函和报价清单应由供应商的法定代表人或其委托代理人逐页签署姓名（本页正文内容已由供应商的法定代表人或其委托代理人签署姓名的可不签署）并逐页加盖供应商单位章（本页正文内容已加盖单位章的除外）。</w:t>
            </w:r>
          </w:p>
          <w:p w14:paraId="59A723C9">
            <w:pPr>
              <w:widowControl/>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cs="Times New Roman"/>
                <w:kern w:val="0"/>
                <w:sz w:val="24"/>
                <w:szCs w:val="24"/>
              </w:rPr>
              <w:t>（3）</w:t>
            </w:r>
            <w:r>
              <w:rPr>
                <w:rFonts w:hint="eastAsia" w:ascii="仿宋" w:hAnsi="仿宋" w:eastAsia="仿宋"/>
                <w:kern w:val="0"/>
                <w:sz w:val="24"/>
                <w:szCs w:val="24"/>
              </w:rPr>
              <w:t>响应文件载明的询价项目完成期限未超过询价邀请公告规定的时限。</w:t>
            </w:r>
            <w:r>
              <w:rPr>
                <w:rFonts w:hint="eastAsia" w:ascii="仿宋" w:hAnsi="仿宋" w:eastAsia="仿宋" w:cs="Times New Roman"/>
                <w:kern w:val="0"/>
                <w:sz w:val="24"/>
                <w:szCs w:val="24"/>
              </w:rPr>
              <w:br w:type="page"/>
            </w:r>
          </w:p>
          <w:p w14:paraId="66D2F4BE">
            <w:pPr>
              <w:widowControl/>
              <w:jc w:val="left"/>
              <w:rPr>
                <w:rFonts w:ascii="仿宋" w:hAnsi="仿宋" w:eastAsia="仿宋" w:cs="Times New Roman"/>
                <w:kern w:val="0"/>
                <w:sz w:val="24"/>
                <w:szCs w:val="24"/>
              </w:rPr>
            </w:pPr>
            <w:r>
              <w:rPr>
                <w:rFonts w:hint="eastAsia" w:ascii="仿宋" w:hAnsi="仿宋" w:eastAsia="仿宋"/>
                <w:kern w:val="0"/>
                <w:sz w:val="24"/>
                <w:szCs w:val="24"/>
              </w:rPr>
              <w:t>（4）响应文件未附有采购人不能接受的条件。</w:t>
            </w:r>
          </w:p>
          <w:p w14:paraId="740C51BE">
            <w:pPr>
              <w:widowControl/>
              <w:numPr>
                <w:ilvl w:val="0"/>
                <w:numId w:val="1"/>
              </w:numPr>
              <w:jc w:val="left"/>
              <w:rPr>
                <w:rFonts w:ascii="仿宋" w:hAnsi="仿宋" w:eastAsia="仿宋" w:cs="Times New Roman"/>
                <w:b/>
                <w:bCs/>
                <w:kern w:val="0"/>
                <w:sz w:val="24"/>
                <w:szCs w:val="24"/>
              </w:rPr>
            </w:pPr>
            <w:r>
              <w:rPr>
                <w:rFonts w:hint="eastAsia" w:ascii="仿宋" w:hAnsi="仿宋" w:eastAsia="仿宋" w:cs="Times New Roman"/>
                <w:b/>
                <w:bCs/>
                <w:kern w:val="0"/>
                <w:sz w:val="24"/>
                <w:szCs w:val="24"/>
              </w:rPr>
              <w:br w:type="page"/>
            </w:r>
            <w:r>
              <w:rPr>
                <w:rFonts w:hint="eastAsia" w:ascii="仿宋" w:hAnsi="仿宋" w:eastAsia="仿宋"/>
                <w:b/>
                <w:bCs/>
                <w:kern w:val="0"/>
                <w:sz w:val="24"/>
                <w:szCs w:val="24"/>
              </w:rPr>
              <w:t>报价函和报价清单</w:t>
            </w:r>
          </w:p>
          <w:p w14:paraId="2E827CBA">
            <w:pPr>
              <w:widowControl/>
              <w:numPr>
                <w:ilvl w:val="0"/>
                <w:numId w:val="3"/>
              </w:numPr>
              <w:jc w:val="left"/>
              <w:rPr>
                <w:rFonts w:ascii="仿宋" w:hAnsi="仿宋" w:eastAsia="仿宋" w:cs="Times New Roman"/>
                <w:kern w:val="0"/>
                <w:sz w:val="24"/>
                <w:szCs w:val="24"/>
              </w:rPr>
            </w:pPr>
            <w:r>
              <w:rPr>
                <w:rFonts w:hint="eastAsia" w:ascii="仿宋" w:hAnsi="仿宋" w:eastAsia="仿宋"/>
                <w:kern w:val="0"/>
                <w:sz w:val="24"/>
                <w:szCs w:val="24"/>
              </w:rPr>
              <w:t>响应文件组成齐全完整，按照询价邀请公告规定的格式、内容填写，字迹清晰可辨。</w:t>
            </w:r>
          </w:p>
          <w:p w14:paraId="5EF6AE0D">
            <w:pPr>
              <w:widowControl/>
              <w:numPr>
                <w:ilvl w:val="0"/>
                <w:numId w:val="3"/>
              </w:numPr>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响应文件上法定代表人或其授权代理人的签字、供应商的单位盖章齐全，符合询价邀请公告规定：报价函按询价邀请公告规定填报了报价的内容，应由供应商的法定代表人或其委托代理人逐页签署姓名（本页正文内容已由供应商的法定代表人或其委托代理人签署姓名的可不签署）并逐页加盖供应商单位章（本页正文内容已加盖单位章的除外）。</w:t>
            </w:r>
          </w:p>
          <w:p w14:paraId="753454FE">
            <w:pPr>
              <w:widowControl/>
              <w:ind w:firstLine="482" w:firstLineChars="200"/>
              <w:jc w:val="left"/>
              <w:rPr>
                <w:rFonts w:ascii="仿宋" w:hAnsi="仿宋" w:eastAsia="仿宋" w:cs="Times New Roman"/>
                <w:kern w:val="0"/>
                <w:sz w:val="24"/>
                <w:szCs w:val="24"/>
              </w:rPr>
            </w:pPr>
            <w:r>
              <w:rPr>
                <w:rFonts w:hint="eastAsia" w:ascii="仿宋" w:hAnsi="仿宋" w:eastAsia="仿宋" w:cs="Times New Roman"/>
                <w:b/>
                <w:bCs/>
                <w:kern w:val="0"/>
                <w:sz w:val="24"/>
                <w:szCs w:val="24"/>
              </w:rPr>
              <w:br w:type="page"/>
            </w:r>
            <w:r>
              <w:rPr>
                <w:rFonts w:hint="eastAsia" w:ascii="仿宋" w:hAnsi="仿宋" w:eastAsia="仿宋"/>
                <w:b/>
                <w:bCs/>
                <w:kern w:val="0"/>
                <w:sz w:val="24"/>
                <w:szCs w:val="24"/>
              </w:rPr>
              <w:t>上述有一项不符合评审标准的，作废标处理。</w:t>
            </w:r>
            <w:r>
              <w:rPr>
                <w:rFonts w:hint="eastAsia" w:ascii="仿宋" w:hAnsi="仿宋" w:eastAsia="仿宋" w:cs="Times New Roman"/>
                <w:kern w:val="0"/>
                <w:sz w:val="24"/>
                <w:szCs w:val="24"/>
              </w:rPr>
              <w:br w:type="page"/>
            </w:r>
          </w:p>
        </w:tc>
        <w:tc>
          <w:tcPr>
            <w:tcW w:w="236" w:type="dxa"/>
            <w:gridSpan w:val="3"/>
            <w:tcBorders>
              <w:top w:val="nil"/>
              <w:left w:val="nil"/>
              <w:bottom w:val="nil"/>
              <w:right w:val="nil"/>
            </w:tcBorders>
          </w:tcPr>
          <w:p w14:paraId="4D4FF3E5">
            <w:pPr>
              <w:widowControl/>
              <w:jc w:val="left"/>
              <w:rPr>
                <w:rFonts w:ascii="仿宋" w:hAnsi="仿宋" w:eastAsia="仿宋" w:cs="Times New Roman"/>
                <w:kern w:val="0"/>
                <w:sz w:val="24"/>
                <w:szCs w:val="24"/>
              </w:rPr>
            </w:pPr>
          </w:p>
        </w:tc>
      </w:tr>
      <w:tr w14:paraId="1DFFC63A">
        <w:tblPrEx>
          <w:tblCellMar>
            <w:top w:w="0" w:type="dxa"/>
            <w:left w:w="108" w:type="dxa"/>
            <w:bottom w:w="0" w:type="dxa"/>
            <w:right w:w="108" w:type="dxa"/>
          </w:tblCellMar>
        </w:tblPrEx>
        <w:trPr>
          <w:gridAfter w:val="5"/>
          <w:wAfter w:w="2220" w:type="dxa"/>
          <w:trHeight w:val="1710" w:hRule="atLeast"/>
        </w:trPr>
        <w:tc>
          <w:tcPr>
            <w:tcW w:w="1417" w:type="dxa"/>
            <w:tcBorders>
              <w:top w:val="nil"/>
              <w:left w:val="single" w:color="auto" w:sz="4" w:space="0"/>
              <w:bottom w:val="single" w:color="auto" w:sz="4" w:space="0"/>
              <w:right w:val="single" w:color="auto" w:sz="4" w:space="0"/>
            </w:tcBorders>
            <w:vAlign w:val="center"/>
          </w:tcPr>
          <w:p w14:paraId="626C9426">
            <w:pPr>
              <w:widowControl/>
              <w:jc w:val="left"/>
              <w:rPr>
                <w:rFonts w:ascii="仿宋" w:hAnsi="仿宋" w:eastAsia="仿宋" w:cs="Times New Roman"/>
                <w:kern w:val="0"/>
                <w:sz w:val="24"/>
                <w:szCs w:val="24"/>
              </w:rPr>
            </w:pPr>
            <w:r>
              <w:rPr>
                <w:rFonts w:hint="eastAsia" w:ascii="仿宋" w:hAnsi="仿宋" w:eastAsia="仿宋"/>
                <w:kern w:val="0"/>
                <w:sz w:val="24"/>
                <w:szCs w:val="24"/>
              </w:rPr>
              <w:t>2.1.3</w:t>
            </w:r>
          </w:p>
        </w:tc>
        <w:tc>
          <w:tcPr>
            <w:tcW w:w="1634" w:type="dxa"/>
            <w:gridSpan w:val="2"/>
            <w:tcBorders>
              <w:top w:val="nil"/>
              <w:left w:val="nil"/>
              <w:bottom w:val="single" w:color="auto" w:sz="4" w:space="0"/>
              <w:right w:val="single" w:color="auto" w:sz="4" w:space="0"/>
            </w:tcBorders>
            <w:vAlign w:val="center"/>
          </w:tcPr>
          <w:p w14:paraId="2552CE01">
            <w:pPr>
              <w:widowControl/>
              <w:jc w:val="center"/>
              <w:rPr>
                <w:rFonts w:ascii="仿宋" w:hAnsi="仿宋" w:eastAsia="仿宋" w:cs="Times New Roman"/>
                <w:kern w:val="0"/>
                <w:sz w:val="24"/>
                <w:szCs w:val="24"/>
              </w:rPr>
            </w:pPr>
            <w:r>
              <w:rPr>
                <w:rFonts w:hint="eastAsia" w:ascii="仿宋" w:hAnsi="仿宋" w:eastAsia="仿宋"/>
                <w:kern w:val="0"/>
                <w:sz w:val="24"/>
                <w:szCs w:val="24"/>
              </w:rPr>
              <w:t>资格评审标准</w:t>
            </w:r>
          </w:p>
        </w:tc>
        <w:tc>
          <w:tcPr>
            <w:tcW w:w="7371" w:type="dxa"/>
            <w:gridSpan w:val="2"/>
            <w:tcBorders>
              <w:top w:val="single" w:color="auto" w:sz="4" w:space="0"/>
              <w:left w:val="nil"/>
              <w:bottom w:val="single" w:color="auto" w:sz="4" w:space="0"/>
              <w:right w:val="single" w:color="auto" w:sz="4" w:space="0"/>
            </w:tcBorders>
            <w:vAlign w:val="center"/>
          </w:tcPr>
          <w:p w14:paraId="7839D721">
            <w:pPr>
              <w:widowControl/>
              <w:jc w:val="left"/>
              <w:rPr>
                <w:rFonts w:ascii="仿宋" w:hAnsi="仿宋" w:eastAsia="仿宋" w:cs="Times New Roman"/>
                <w:kern w:val="0"/>
                <w:sz w:val="24"/>
                <w:szCs w:val="24"/>
              </w:rPr>
            </w:pPr>
            <w:r>
              <w:rPr>
                <w:rFonts w:hint="eastAsia" w:ascii="仿宋" w:hAnsi="仿宋" w:eastAsia="仿宋"/>
                <w:kern w:val="0"/>
                <w:sz w:val="24"/>
                <w:szCs w:val="24"/>
              </w:rPr>
              <w:t>（1）供应商具备有效的营业执照、资质证书；</w:t>
            </w:r>
            <w:r>
              <w:rPr>
                <w:rFonts w:hint="eastAsia" w:ascii="仿宋" w:hAnsi="仿宋" w:eastAsia="仿宋" w:cs="Times New Roman"/>
                <w:kern w:val="0"/>
                <w:sz w:val="24"/>
                <w:szCs w:val="24"/>
              </w:rPr>
              <w:br w:type="textWrapping"/>
            </w:r>
            <w:r>
              <w:rPr>
                <w:rFonts w:hint="eastAsia" w:ascii="仿宋" w:hAnsi="仿宋" w:eastAsia="仿宋"/>
                <w:kern w:val="0"/>
                <w:sz w:val="24"/>
                <w:szCs w:val="24"/>
              </w:rPr>
              <w:t>（2）供应商的资质等级符合询价邀请公告规定；</w:t>
            </w:r>
            <w:r>
              <w:rPr>
                <w:rFonts w:hint="eastAsia" w:ascii="仿宋" w:hAnsi="仿宋" w:eastAsia="仿宋" w:cs="Times New Roman"/>
                <w:kern w:val="0"/>
                <w:sz w:val="24"/>
                <w:szCs w:val="24"/>
              </w:rPr>
              <w:br w:type="textWrapping"/>
            </w:r>
            <w:r>
              <w:rPr>
                <w:rFonts w:hint="eastAsia" w:ascii="仿宋" w:hAnsi="仿宋" w:eastAsia="仿宋"/>
                <w:kern w:val="0"/>
                <w:sz w:val="24"/>
                <w:szCs w:val="24"/>
              </w:rPr>
              <w:t>（3）供应商的业绩符合询价邀请公告规定；</w:t>
            </w:r>
            <w:r>
              <w:rPr>
                <w:rFonts w:hint="eastAsia" w:ascii="仿宋" w:hAnsi="仿宋" w:eastAsia="仿宋" w:cs="Times New Roman"/>
                <w:kern w:val="0"/>
                <w:sz w:val="24"/>
                <w:szCs w:val="24"/>
              </w:rPr>
              <w:br w:type="textWrapping"/>
            </w:r>
            <w:r>
              <w:rPr>
                <w:rFonts w:hint="eastAsia" w:ascii="仿宋" w:hAnsi="仿宋" w:eastAsia="仿宋"/>
                <w:kern w:val="0"/>
                <w:sz w:val="24"/>
                <w:szCs w:val="24"/>
              </w:rPr>
              <w:t>（4）供应商的其他要求符合询价邀请公告规定；</w:t>
            </w:r>
            <w:r>
              <w:rPr>
                <w:rFonts w:hint="eastAsia" w:ascii="仿宋" w:hAnsi="仿宋" w:eastAsia="仿宋" w:cs="Times New Roman"/>
                <w:kern w:val="0"/>
                <w:sz w:val="24"/>
                <w:szCs w:val="24"/>
              </w:rPr>
              <w:br w:type="textWrapping"/>
            </w:r>
            <w:r>
              <w:rPr>
                <w:rFonts w:hint="eastAsia" w:ascii="仿宋" w:hAnsi="仿宋" w:eastAsia="仿宋"/>
                <w:b/>
                <w:bCs/>
                <w:kern w:val="0"/>
                <w:sz w:val="24"/>
                <w:szCs w:val="24"/>
              </w:rPr>
              <w:t>上述有一项不符合评审标准的，作废标处理。</w:t>
            </w:r>
          </w:p>
        </w:tc>
        <w:tc>
          <w:tcPr>
            <w:tcW w:w="236" w:type="dxa"/>
            <w:gridSpan w:val="3"/>
            <w:tcBorders>
              <w:top w:val="nil"/>
              <w:left w:val="nil"/>
              <w:bottom w:val="nil"/>
              <w:right w:val="nil"/>
            </w:tcBorders>
          </w:tcPr>
          <w:p w14:paraId="57E9A7C6">
            <w:pPr>
              <w:widowControl/>
              <w:jc w:val="left"/>
              <w:rPr>
                <w:rFonts w:ascii="仿宋" w:hAnsi="仿宋" w:eastAsia="仿宋" w:cs="Times New Roman"/>
                <w:kern w:val="0"/>
                <w:sz w:val="24"/>
                <w:szCs w:val="24"/>
              </w:rPr>
            </w:pPr>
          </w:p>
        </w:tc>
      </w:tr>
      <w:tr w14:paraId="59BB3199">
        <w:tblPrEx>
          <w:tblCellMar>
            <w:top w:w="0" w:type="dxa"/>
            <w:left w:w="108" w:type="dxa"/>
            <w:bottom w:w="0" w:type="dxa"/>
            <w:right w:w="108" w:type="dxa"/>
          </w:tblCellMar>
        </w:tblPrEx>
        <w:trPr>
          <w:gridAfter w:val="5"/>
          <w:wAfter w:w="2220" w:type="dxa"/>
          <w:trHeight w:val="525" w:hRule="atLeast"/>
        </w:trPr>
        <w:tc>
          <w:tcPr>
            <w:tcW w:w="1417" w:type="dxa"/>
            <w:tcBorders>
              <w:top w:val="nil"/>
              <w:left w:val="single" w:color="auto" w:sz="4" w:space="0"/>
              <w:bottom w:val="single" w:color="auto" w:sz="4" w:space="0"/>
              <w:right w:val="single" w:color="auto" w:sz="4" w:space="0"/>
            </w:tcBorders>
            <w:vAlign w:val="center"/>
          </w:tcPr>
          <w:p w14:paraId="70F79D8C">
            <w:pPr>
              <w:widowControl/>
              <w:jc w:val="left"/>
              <w:rPr>
                <w:rFonts w:ascii="仿宋" w:hAnsi="仿宋" w:eastAsia="仿宋" w:cs="Times New Roman"/>
                <w:kern w:val="0"/>
                <w:sz w:val="24"/>
                <w:szCs w:val="24"/>
              </w:rPr>
            </w:pPr>
            <w:r>
              <w:rPr>
                <w:rFonts w:hint="eastAsia" w:ascii="仿宋" w:hAnsi="仿宋" w:eastAsia="仿宋"/>
                <w:kern w:val="0"/>
                <w:sz w:val="24"/>
                <w:szCs w:val="24"/>
              </w:rPr>
              <w:t>2.2.1</w:t>
            </w:r>
          </w:p>
        </w:tc>
        <w:tc>
          <w:tcPr>
            <w:tcW w:w="1634" w:type="dxa"/>
            <w:gridSpan w:val="2"/>
            <w:tcBorders>
              <w:top w:val="nil"/>
              <w:left w:val="nil"/>
              <w:bottom w:val="single" w:color="auto" w:sz="4" w:space="0"/>
              <w:right w:val="single" w:color="auto" w:sz="4" w:space="0"/>
            </w:tcBorders>
            <w:vAlign w:val="center"/>
          </w:tcPr>
          <w:p w14:paraId="33205D07">
            <w:pPr>
              <w:widowControl/>
              <w:jc w:val="center"/>
              <w:rPr>
                <w:rFonts w:ascii="仿宋" w:hAnsi="仿宋" w:eastAsia="仿宋" w:cs="Times New Roman"/>
                <w:kern w:val="0"/>
                <w:sz w:val="24"/>
                <w:szCs w:val="24"/>
              </w:rPr>
            </w:pPr>
            <w:r>
              <w:rPr>
                <w:rFonts w:hint="eastAsia" w:ascii="仿宋" w:hAnsi="仿宋" w:eastAsia="仿宋"/>
                <w:kern w:val="0"/>
                <w:sz w:val="24"/>
                <w:szCs w:val="24"/>
              </w:rPr>
              <w:t>分值构成（总分100分）</w:t>
            </w:r>
          </w:p>
        </w:tc>
        <w:tc>
          <w:tcPr>
            <w:tcW w:w="7371" w:type="dxa"/>
            <w:gridSpan w:val="2"/>
            <w:tcBorders>
              <w:top w:val="single" w:color="auto" w:sz="4" w:space="0"/>
              <w:left w:val="nil"/>
              <w:bottom w:val="single" w:color="auto" w:sz="4" w:space="0"/>
              <w:right w:val="single" w:color="auto" w:sz="4" w:space="0"/>
            </w:tcBorders>
            <w:vAlign w:val="center"/>
          </w:tcPr>
          <w:p w14:paraId="6C9C27DB">
            <w:pPr>
              <w:widowControl/>
              <w:jc w:val="left"/>
              <w:rPr>
                <w:rFonts w:ascii="仿宋" w:hAnsi="仿宋" w:eastAsia="仿宋" w:cs="Times New Roman"/>
                <w:kern w:val="0"/>
                <w:sz w:val="24"/>
                <w:szCs w:val="24"/>
              </w:rPr>
            </w:pPr>
            <w:r>
              <w:rPr>
                <w:rFonts w:hint="eastAsia" w:ascii="仿宋" w:hAnsi="仿宋" w:eastAsia="仿宋"/>
                <w:b/>
                <w:bCs/>
                <w:kern w:val="0"/>
                <w:sz w:val="24"/>
                <w:szCs w:val="24"/>
              </w:rPr>
              <w:t>评标价：100分；其他因素分值均为0分</w:t>
            </w:r>
          </w:p>
        </w:tc>
        <w:tc>
          <w:tcPr>
            <w:tcW w:w="236" w:type="dxa"/>
            <w:gridSpan w:val="3"/>
            <w:tcBorders>
              <w:top w:val="nil"/>
              <w:left w:val="nil"/>
              <w:bottom w:val="nil"/>
              <w:right w:val="nil"/>
            </w:tcBorders>
          </w:tcPr>
          <w:p w14:paraId="11A18C22">
            <w:pPr>
              <w:widowControl/>
              <w:jc w:val="left"/>
              <w:rPr>
                <w:rFonts w:ascii="仿宋" w:hAnsi="仿宋" w:eastAsia="仿宋" w:cs="Times New Roman"/>
                <w:kern w:val="0"/>
                <w:sz w:val="24"/>
                <w:szCs w:val="24"/>
              </w:rPr>
            </w:pPr>
          </w:p>
        </w:tc>
      </w:tr>
      <w:tr w14:paraId="0CC03081">
        <w:tblPrEx>
          <w:tblCellMar>
            <w:top w:w="0" w:type="dxa"/>
            <w:left w:w="108" w:type="dxa"/>
            <w:bottom w:w="0" w:type="dxa"/>
            <w:right w:w="108" w:type="dxa"/>
          </w:tblCellMar>
        </w:tblPrEx>
        <w:trPr>
          <w:gridAfter w:val="5"/>
          <w:wAfter w:w="2220" w:type="dxa"/>
          <w:trHeight w:val="5418" w:hRule="atLeast"/>
        </w:trPr>
        <w:tc>
          <w:tcPr>
            <w:tcW w:w="1417" w:type="dxa"/>
            <w:tcBorders>
              <w:top w:val="single" w:color="auto" w:sz="4" w:space="0"/>
              <w:left w:val="single" w:color="auto" w:sz="4" w:space="0"/>
              <w:bottom w:val="single" w:color="auto" w:sz="4" w:space="0"/>
              <w:right w:val="single" w:color="auto" w:sz="4" w:space="0"/>
            </w:tcBorders>
            <w:vAlign w:val="center"/>
          </w:tcPr>
          <w:p w14:paraId="6B04E5BD">
            <w:pPr>
              <w:widowControl/>
              <w:jc w:val="left"/>
              <w:rPr>
                <w:rFonts w:ascii="仿宋" w:hAnsi="仿宋" w:eastAsia="仿宋" w:cs="Times New Roman"/>
                <w:kern w:val="0"/>
                <w:sz w:val="24"/>
                <w:szCs w:val="24"/>
              </w:rPr>
            </w:pPr>
            <w:r>
              <w:rPr>
                <w:rFonts w:hint="eastAsia" w:ascii="仿宋" w:hAnsi="仿宋" w:eastAsia="仿宋"/>
                <w:kern w:val="0"/>
                <w:sz w:val="24"/>
                <w:szCs w:val="24"/>
              </w:rPr>
              <w:t>2.2.2</w:t>
            </w:r>
          </w:p>
        </w:tc>
        <w:tc>
          <w:tcPr>
            <w:tcW w:w="1634" w:type="dxa"/>
            <w:gridSpan w:val="2"/>
            <w:tcBorders>
              <w:top w:val="single" w:color="auto" w:sz="4" w:space="0"/>
              <w:left w:val="single" w:color="auto" w:sz="4" w:space="0"/>
              <w:bottom w:val="single" w:color="auto" w:sz="4" w:space="0"/>
              <w:right w:val="single" w:color="auto" w:sz="4" w:space="0"/>
            </w:tcBorders>
            <w:vAlign w:val="center"/>
          </w:tcPr>
          <w:p w14:paraId="78E05E1E">
            <w:pPr>
              <w:widowControl/>
              <w:jc w:val="center"/>
              <w:rPr>
                <w:rFonts w:ascii="仿宋" w:hAnsi="仿宋" w:eastAsia="仿宋" w:cs="Times New Roman"/>
                <w:kern w:val="0"/>
                <w:sz w:val="24"/>
                <w:szCs w:val="24"/>
              </w:rPr>
            </w:pPr>
            <w:r>
              <w:rPr>
                <w:rFonts w:hint="eastAsia" w:ascii="仿宋" w:hAnsi="仿宋" w:eastAsia="仿宋"/>
                <w:kern w:val="0"/>
                <w:sz w:val="24"/>
                <w:szCs w:val="24"/>
              </w:rPr>
              <w:t>评标基准价计 算方法</w:t>
            </w:r>
          </w:p>
        </w:tc>
        <w:tc>
          <w:tcPr>
            <w:tcW w:w="7371" w:type="dxa"/>
            <w:gridSpan w:val="2"/>
            <w:tcBorders>
              <w:top w:val="single" w:color="auto" w:sz="4" w:space="0"/>
              <w:left w:val="single" w:color="auto" w:sz="4" w:space="0"/>
              <w:bottom w:val="single" w:color="auto" w:sz="4" w:space="0"/>
              <w:right w:val="single" w:color="auto" w:sz="4" w:space="0"/>
            </w:tcBorders>
            <w:vAlign w:val="center"/>
          </w:tcPr>
          <w:p w14:paraId="784974B5">
            <w:pPr>
              <w:widowControl/>
              <w:jc w:val="left"/>
              <w:rPr>
                <w:rFonts w:ascii="仿宋" w:hAnsi="仿宋" w:eastAsia="仿宋" w:cs="Times New Roman"/>
                <w:b/>
                <w:bCs/>
                <w:kern w:val="0"/>
                <w:sz w:val="24"/>
                <w:szCs w:val="24"/>
              </w:rPr>
            </w:pPr>
            <w:r>
              <w:rPr>
                <w:rFonts w:hint="eastAsia" w:ascii="仿宋" w:hAnsi="仿宋" w:eastAsia="仿宋"/>
                <w:b/>
                <w:bCs/>
                <w:kern w:val="0"/>
                <w:sz w:val="24"/>
                <w:szCs w:val="24"/>
              </w:rPr>
              <w:t>评标基准价的计算：</w:t>
            </w:r>
          </w:p>
          <w:p w14:paraId="7DBF5882">
            <w:pPr>
              <w:widowControl/>
              <w:numPr>
                <w:ilvl w:val="0"/>
                <w:numId w:val="4"/>
              </w:numPr>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评标价的确定：评标价=投标函文字报价。</w:t>
            </w:r>
          </w:p>
          <w:p w14:paraId="277E1448">
            <w:pPr>
              <w:widowControl/>
              <w:numPr>
                <w:ilvl w:val="0"/>
                <w:numId w:val="4"/>
              </w:numPr>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评标价平均值（R1）的确定：</w:t>
            </w:r>
          </w:p>
          <w:p w14:paraId="6ED5CAA3">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除开评标现场被宣布为废标、不通过形式评审与响应性评审标准及资格评审的投标报价外，所有不高于标段控制价上限且不低于标段控制价上限80%的供应商评标价去掉一个最高值和一个最低值后的算术平均值作为</w:t>
            </w:r>
            <w:r>
              <w:rPr>
                <w:rFonts w:hint="eastAsia" w:ascii="仿宋" w:hAnsi="仿宋" w:eastAsia="仿宋" w:cs="Times New Roman"/>
                <w:kern w:val="0"/>
                <w:sz w:val="24"/>
                <w:szCs w:val="24"/>
              </w:rPr>
              <w:br w:type="page"/>
            </w:r>
            <w:r>
              <w:rPr>
                <w:rFonts w:hint="eastAsia" w:ascii="仿宋" w:hAnsi="仿宋" w:eastAsia="仿宋"/>
                <w:kern w:val="0"/>
                <w:sz w:val="24"/>
                <w:szCs w:val="24"/>
              </w:rPr>
              <w:t>评标价平均值（R1）【如果参与评标价平均值计算的有效供应商少于或等于5家时，则计算评标平均值时不去掉最高值和最低值】。</w:t>
            </w:r>
          </w:p>
          <w:p w14:paraId="40CF2D66">
            <w:pPr>
              <w:widowControl/>
              <w:numPr>
                <w:ilvl w:val="0"/>
                <w:numId w:val="4"/>
              </w:numPr>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评标基准价（R2）的确定：</w:t>
            </w:r>
          </w:p>
          <w:p w14:paraId="0BFF298C">
            <w:pPr>
              <w:widowControl/>
              <w:ind w:firstLine="480" w:firstLineChars="200"/>
              <w:jc w:val="left"/>
              <w:rPr>
                <w:rFonts w:ascii="仿宋" w:hAnsi="仿宋" w:eastAsia="仿宋" w:cs="Times New Roman"/>
                <w:kern w:val="0"/>
                <w:sz w:val="24"/>
                <w:szCs w:val="24"/>
              </w:rPr>
            </w:pPr>
            <w:r>
              <w:rPr>
                <w:rFonts w:hint="eastAsia" w:ascii="仿宋" w:hAnsi="仿宋" w:eastAsia="仿宋" w:cs="Times New Roman"/>
                <w:kern w:val="0"/>
                <w:sz w:val="24"/>
                <w:szCs w:val="24"/>
              </w:rPr>
              <w:br w:type="page"/>
            </w:r>
            <w:r>
              <w:rPr>
                <w:rFonts w:hint="eastAsia" w:ascii="仿宋" w:hAnsi="仿宋" w:eastAsia="仿宋"/>
                <w:kern w:val="0"/>
                <w:sz w:val="24"/>
                <w:szCs w:val="24"/>
              </w:rPr>
              <w:t>评标基准价（R2）=评标价平均值（R1）×（1-K）</w:t>
            </w:r>
          </w:p>
          <w:p w14:paraId="6A4FCB91">
            <w:pPr>
              <w:widowControl/>
              <w:ind w:firstLine="480" w:firstLineChars="200"/>
              <w:jc w:val="left"/>
              <w:rPr>
                <w:rFonts w:ascii="仿宋" w:hAnsi="仿宋" w:eastAsia="仿宋" w:cs="Times New Roman"/>
                <w:kern w:val="0"/>
                <w:sz w:val="24"/>
                <w:szCs w:val="24"/>
              </w:rPr>
            </w:pPr>
            <w:r>
              <w:rPr>
                <w:rFonts w:hint="eastAsia" w:ascii="仿宋" w:hAnsi="仿宋" w:eastAsia="仿宋"/>
                <w:kern w:val="0"/>
                <w:sz w:val="24"/>
                <w:szCs w:val="24"/>
              </w:rPr>
              <w:t>评标基准价由采购人计算后在开标现场宣布</w:t>
            </w:r>
            <w:r>
              <w:rPr>
                <w:rFonts w:hint="eastAsia" w:ascii="仿宋" w:hAnsi="仿宋" w:eastAsia="仿宋" w:cs="Times New Roman"/>
                <w:kern w:val="0"/>
                <w:sz w:val="24"/>
                <w:szCs w:val="24"/>
              </w:rPr>
              <w:br w:type="page"/>
            </w:r>
            <w:r>
              <w:rPr>
                <w:rFonts w:hint="eastAsia" w:ascii="仿宋" w:hAnsi="仿宋" w:eastAsia="仿宋"/>
                <w:kern w:val="0"/>
                <w:sz w:val="24"/>
                <w:szCs w:val="24"/>
              </w:rPr>
              <w:t>，如果供应商认为某一标段的评标基准价计算有误，有权在开标现场提出，经监标人当场核实确认之后，可重新宣布评标基准价。确认后的评标基准价在整个评标期间保持不变。</w:t>
            </w:r>
          </w:p>
          <w:p w14:paraId="069ED41A">
            <w:pPr>
              <w:widowControl/>
              <w:ind w:firstLine="480" w:firstLineChars="200"/>
              <w:jc w:val="left"/>
              <w:rPr>
                <w:rFonts w:ascii="仿宋" w:hAnsi="仿宋" w:eastAsia="仿宋" w:cs="Times New Roman"/>
                <w:kern w:val="0"/>
                <w:sz w:val="24"/>
                <w:szCs w:val="24"/>
              </w:rPr>
            </w:pPr>
            <w:r>
              <w:rPr>
                <w:rFonts w:hint="eastAsia" w:ascii="仿宋" w:hAnsi="仿宋" w:eastAsia="仿宋"/>
                <w:kern w:val="0"/>
                <w:sz w:val="24"/>
                <w:szCs w:val="24"/>
              </w:rPr>
              <w:t>K值为</w:t>
            </w:r>
            <w:r>
              <w:rPr>
                <w:rFonts w:hint="eastAsia" w:ascii="仿宋" w:hAnsi="仿宋" w:eastAsia="仿宋" w:cs="Times New Roman"/>
                <w:kern w:val="0"/>
                <w:sz w:val="24"/>
                <w:szCs w:val="24"/>
              </w:rPr>
              <w:br w:type="page"/>
            </w:r>
            <w:r>
              <w:rPr>
                <w:rFonts w:hint="eastAsia" w:ascii="仿宋" w:hAnsi="仿宋" w:eastAsia="仿宋"/>
                <w:kern w:val="0"/>
                <w:sz w:val="24"/>
                <w:szCs w:val="24"/>
              </w:rPr>
              <w:t>评标价平均值（R1）的下降率，在开启供应商响应文件时由供应商代表或监标人当众随机抽取确定，K值分0%、0.5%、1%、1.5%、2%五个档次。</w:t>
            </w:r>
            <w:r>
              <w:rPr>
                <w:rFonts w:hint="eastAsia" w:ascii="仿宋" w:hAnsi="仿宋" w:eastAsia="仿宋" w:cs="Times New Roman"/>
                <w:kern w:val="0"/>
                <w:sz w:val="24"/>
                <w:szCs w:val="24"/>
              </w:rPr>
              <w:br w:type="page"/>
            </w:r>
          </w:p>
        </w:tc>
        <w:tc>
          <w:tcPr>
            <w:tcW w:w="236" w:type="dxa"/>
            <w:gridSpan w:val="3"/>
            <w:tcBorders>
              <w:top w:val="nil"/>
              <w:left w:val="nil"/>
              <w:bottom w:val="nil"/>
              <w:right w:val="nil"/>
            </w:tcBorders>
          </w:tcPr>
          <w:p w14:paraId="7E25CBBF">
            <w:pPr>
              <w:widowControl/>
              <w:jc w:val="left"/>
              <w:rPr>
                <w:rFonts w:ascii="仿宋" w:hAnsi="仿宋" w:eastAsia="仿宋" w:cs="Times New Roman"/>
                <w:kern w:val="0"/>
                <w:sz w:val="24"/>
                <w:szCs w:val="24"/>
              </w:rPr>
            </w:pPr>
          </w:p>
        </w:tc>
      </w:tr>
      <w:tr w14:paraId="6C713064">
        <w:tblPrEx>
          <w:tblCellMar>
            <w:top w:w="0" w:type="dxa"/>
            <w:left w:w="108" w:type="dxa"/>
            <w:bottom w:w="0" w:type="dxa"/>
            <w:right w:w="108" w:type="dxa"/>
          </w:tblCellMar>
        </w:tblPrEx>
        <w:trPr>
          <w:gridAfter w:val="5"/>
          <w:wAfter w:w="2220" w:type="dxa"/>
          <w:trHeight w:val="630" w:hRule="atLeast"/>
        </w:trPr>
        <w:tc>
          <w:tcPr>
            <w:tcW w:w="1417" w:type="dxa"/>
            <w:tcBorders>
              <w:top w:val="single" w:color="auto" w:sz="4" w:space="0"/>
              <w:left w:val="single" w:color="auto" w:sz="4" w:space="0"/>
              <w:bottom w:val="single" w:color="auto" w:sz="4" w:space="0"/>
              <w:right w:val="single" w:color="auto" w:sz="4" w:space="0"/>
            </w:tcBorders>
            <w:vAlign w:val="center"/>
          </w:tcPr>
          <w:p w14:paraId="479D530A">
            <w:pPr>
              <w:widowControl/>
              <w:jc w:val="left"/>
              <w:rPr>
                <w:rFonts w:ascii="仿宋" w:hAnsi="仿宋" w:eastAsia="仿宋" w:cs="Times New Roman"/>
                <w:kern w:val="0"/>
                <w:sz w:val="24"/>
                <w:szCs w:val="24"/>
              </w:rPr>
            </w:pPr>
            <w:r>
              <w:rPr>
                <w:rFonts w:hint="eastAsia" w:ascii="仿宋" w:hAnsi="仿宋" w:eastAsia="仿宋"/>
                <w:kern w:val="0"/>
                <w:sz w:val="24"/>
                <w:szCs w:val="24"/>
              </w:rPr>
              <w:t>2.2.3</w:t>
            </w:r>
          </w:p>
        </w:tc>
        <w:tc>
          <w:tcPr>
            <w:tcW w:w="1634" w:type="dxa"/>
            <w:gridSpan w:val="2"/>
            <w:tcBorders>
              <w:top w:val="single" w:color="auto" w:sz="4" w:space="0"/>
              <w:left w:val="nil"/>
              <w:bottom w:val="single" w:color="auto" w:sz="4" w:space="0"/>
              <w:right w:val="single" w:color="auto" w:sz="4" w:space="0"/>
            </w:tcBorders>
            <w:vAlign w:val="center"/>
          </w:tcPr>
          <w:p w14:paraId="540B2713">
            <w:pPr>
              <w:widowControl/>
              <w:jc w:val="center"/>
              <w:rPr>
                <w:rFonts w:ascii="仿宋" w:hAnsi="仿宋" w:eastAsia="仿宋" w:cs="Times New Roman"/>
                <w:kern w:val="0"/>
                <w:sz w:val="24"/>
                <w:szCs w:val="24"/>
              </w:rPr>
            </w:pPr>
            <w:r>
              <w:rPr>
                <w:rFonts w:hint="eastAsia" w:ascii="仿宋" w:hAnsi="仿宋" w:eastAsia="仿宋"/>
                <w:kern w:val="0"/>
                <w:sz w:val="24"/>
                <w:szCs w:val="24"/>
              </w:rPr>
              <w:t>投标报价的偏差率计算公式</w:t>
            </w:r>
          </w:p>
        </w:tc>
        <w:tc>
          <w:tcPr>
            <w:tcW w:w="7371" w:type="dxa"/>
            <w:gridSpan w:val="2"/>
            <w:tcBorders>
              <w:top w:val="single" w:color="auto" w:sz="4" w:space="0"/>
              <w:left w:val="nil"/>
              <w:bottom w:val="single" w:color="auto" w:sz="4" w:space="0"/>
              <w:right w:val="single" w:color="auto" w:sz="4" w:space="0"/>
            </w:tcBorders>
            <w:vAlign w:val="center"/>
          </w:tcPr>
          <w:p w14:paraId="469B966C">
            <w:pPr>
              <w:widowControl/>
              <w:jc w:val="left"/>
              <w:rPr>
                <w:rFonts w:ascii="仿宋" w:hAnsi="仿宋" w:eastAsia="仿宋" w:cs="Times New Roman"/>
                <w:kern w:val="0"/>
                <w:sz w:val="24"/>
                <w:szCs w:val="24"/>
              </w:rPr>
            </w:pPr>
            <w:r>
              <w:rPr>
                <w:rFonts w:hint="eastAsia" w:ascii="仿宋" w:hAnsi="仿宋" w:eastAsia="仿宋"/>
                <w:kern w:val="0"/>
                <w:sz w:val="24"/>
                <w:szCs w:val="24"/>
              </w:rPr>
              <w:t>偏差率=100%×（投标人评标价－评标基准价）/评标基准价</w:t>
            </w:r>
          </w:p>
        </w:tc>
        <w:tc>
          <w:tcPr>
            <w:tcW w:w="236" w:type="dxa"/>
            <w:gridSpan w:val="3"/>
            <w:tcBorders>
              <w:top w:val="nil"/>
              <w:left w:val="nil"/>
              <w:bottom w:val="nil"/>
              <w:right w:val="nil"/>
            </w:tcBorders>
          </w:tcPr>
          <w:p w14:paraId="715AA47C">
            <w:pPr>
              <w:widowControl/>
              <w:jc w:val="left"/>
              <w:rPr>
                <w:rFonts w:ascii="仿宋" w:hAnsi="仿宋" w:eastAsia="仿宋" w:cs="Times New Roman"/>
                <w:kern w:val="0"/>
                <w:sz w:val="24"/>
                <w:szCs w:val="24"/>
              </w:rPr>
            </w:pPr>
          </w:p>
        </w:tc>
      </w:tr>
      <w:tr w14:paraId="4AE6CB21">
        <w:tblPrEx>
          <w:tblCellMar>
            <w:top w:w="0" w:type="dxa"/>
            <w:left w:w="108" w:type="dxa"/>
            <w:bottom w:w="0" w:type="dxa"/>
            <w:right w:w="108" w:type="dxa"/>
          </w:tblCellMar>
        </w:tblPrEx>
        <w:trPr>
          <w:gridAfter w:val="5"/>
          <w:wAfter w:w="2220" w:type="dxa"/>
          <w:trHeight w:val="3375" w:hRule="atLeast"/>
        </w:trPr>
        <w:tc>
          <w:tcPr>
            <w:tcW w:w="1417" w:type="dxa"/>
            <w:tcBorders>
              <w:top w:val="nil"/>
              <w:left w:val="single" w:color="auto" w:sz="4" w:space="0"/>
              <w:bottom w:val="single" w:color="auto" w:sz="4" w:space="0"/>
              <w:right w:val="single" w:color="auto" w:sz="4" w:space="0"/>
            </w:tcBorders>
            <w:vAlign w:val="center"/>
          </w:tcPr>
          <w:p w14:paraId="4343F1D4">
            <w:pPr>
              <w:widowControl/>
              <w:jc w:val="left"/>
              <w:rPr>
                <w:rFonts w:ascii="仿宋" w:hAnsi="仿宋" w:eastAsia="仿宋" w:cs="Times New Roman"/>
                <w:kern w:val="0"/>
                <w:sz w:val="24"/>
                <w:szCs w:val="24"/>
              </w:rPr>
            </w:pPr>
            <w:r>
              <w:rPr>
                <w:rFonts w:hint="eastAsia" w:ascii="仿宋" w:hAnsi="仿宋" w:eastAsia="仿宋"/>
                <w:kern w:val="0"/>
                <w:sz w:val="24"/>
                <w:szCs w:val="24"/>
              </w:rPr>
              <w:t>2.2.4</w:t>
            </w:r>
          </w:p>
        </w:tc>
        <w:tc>
          <w:tcPr>
            <w:tcW w:w="1634" w:type="dxa"/>
            <w:gridSpan w:val="2"/>
            <w:tcBorders>
              <w:top w:val="nil"/>
              <w:left w:val="nil"/>
              <w:bottom w:val="single" w:color="auto" w:sz="4" w:space="0"/>
              <w:right w:val="single" w:color="auto" w:sz="4" w:space="0"/>
            </w:tcBorders>
            <w:vAlign w:val="center"/>
          </w:tcPr>
          <w:p w14:paraId="170930DE">
            <w:pPr>
              <w:widowControl/>
              <w:jc w:val="center"/>
              <w:rPr>
                <w:rFonts w:ascii="仿宋" w:hAnsi="仿宋" w:eastAsia="仿宋" w:cs="Times New Roman"/>
                <w:kern w:val="0"/>
                <w:sz w:val="24"/>
                <w:szCs w:val="24"/>
              </w:rPr>
            </w:pPr>
            <w:r>
              <w:rPr>
                <w:rFonts w:hint="eastAsia" w:ascii="仿宋" w:hAnsi="仿宋" w:eastAsia="仿宋"/>
                <w:kern w:val="0"/>
                <w:sz w:val="24"/>
                <w:szCs w:val="24"/>
              </w:rPr>
              <w:t>评标价得分</w:t>
            </w:r>
          </w:p>
        </w:tc>
        <w:tc>
          <w:tcPr>
            <w:tcW w:w="7371" w:type="dxa"/>
            <w:gridSpan w:val="2"/>
            <w:tcBorders>
              <w:top w:val="single" w:color="auto" w:sz="4" w:space="0"/>
              <w:left w:val="nil"/>
              <w:bottom w:val="single" w:color="auto" w:sz="4" w:space="0"/>
              <w:right w:val="single" w:color="auto" w:sz="4" w:space="0"/>
            </w:tcBorders>
            <w:vAlign w:val="center"/>
          </w:tcPr>
          <w:p w14:paraId="4C32AB64">
            <w:pPr>
              <w:widowControl/>
              <w:jc w:val="left"/>
              <w:rPr>
                <w:rFonts w:ascii="仿宋" w:hAnsi="仿宋" w:eastAsia="仿宋" w:cs="Times New Roman"/>
                <w:kern w:val="0"/>
                <w:sz w:val="24"/>
                <w:szCs w:val="24"/>
              </w:rPr>
            </w:pPr>
            <w:r>
              <w:rPr>
                <w:rFonts w:hint="eastAsia" w:ascii="仿宋" w:hAnsi="仿宋" w:eastAsia="仿宋"/>
                <w:kern w:val="0"/>
                <w:sz w:val="24"/>
                <w:szCs w:val="24"/>
              </w:rPr>
              <w:t>评标价得分计算公式示例：</w:t>
            </w:r>
            <w:r>
              <w:rPr>
                <w:rFonts w:hint="eastAsia" w:ascii="仿宋" w:hAnsi="仿宋" w:eastAsia="仿宋" w:cs="Times New Roman"/>
                <w:kern w:val="0"/>
                <w:sz w:val="24"/>
                <w:szCs w:val="24"/>
              </w:rPr>
              <w:br w:type="textWrapping"/>
            </w:r>
            <w:r>
              <w:rPr>
                <w:rFonts w:hint="eastAsia" w:ascii="仿宋" w:hAnsi="仿宋" w:eastAsia="仿宋"/>
                <w:kern w:val="0"/>
                <w:sz w:val="24"/>
                <w:szCs w:val="24"/>
              </w:rPr>
              <w:t>（1） 如果供应商的评标价＞评标基准价，则评标价得分=100-偏差率×100×E1；</w:t>
            </w:r>
            <w:r>
              <w:rPr>
                <w:rFonts w:hint="eastAsia" w:ascii="仿宋" w:hAnsi="仿宋" w:eastAsia="仿宋" w:cs="Times New Roman"/>
                <w:kern w:val="0"/>
                <w:sz w:val="24"/>
                <w:szCs w:val="24"/>
              </w:rPr>
              <w:br w:type="textWrapping"/>
            </w:r>
            <w:r>
              <w:rPr>
                <w:rFonts w:hint="eastAsia" w:ascii="仿宋" w:hAnsi="仿宋" w:eastAsia="仿宋"/>
                <w:kern w:val="0"/>
                <w:sz w:val="24"/>
                <w:szCs w:val="24"/>
              </w:rPr>
              <w:t>（2） 如果供应商的评标价≤评标基准价，则评标价得分=100+偏差率×100×E2；</w:t>
            </w:r>
            <w:r>
              <w:rPr>
                <w:rFonts w:hint="eastAsia" w:ascii="仿宋" w:hAnsi="仿宋" w:eastAsia="仿宋" w:cs="Times New Roman"/>
                <w:kern w:val="0"/>
                <w:sz w:val="24"/>
                <w:szCs w:val="24"/>
              </w:rPr>
              <w:br w:type="textWrapping"/>
            </w:r>
            <w:r>
              <w:rPr>
                <w:rFonts w:hint="eastAsia" w:ascii="仿宋" w:hAnsi="仿宋" w:eastAsia="仿宋"/>
                <w:kern w:val="0"/>
                <w:sz w:val="24"/>
                <w:szCs w:val="24"/>
              </w:rPr>
              <w:t>其中：E1是评标价每高于评标基准价一个百分点的扣分值，E2是评标价每低于评标基准价一个百分点的扣分值。本次招标中，E1=1，E2=0.5。</w:t>
            </w:r>
            <w:r>
              <w:rPr>
                <w:rFonts w:hint="eastAsia" w:ascii="仿宋" w:hAnsi="仿宋" w:eastAsia="仿宋" w:cs="Times New Roman"/>
                <w:kern w:val="0"/>
                <w:sz w:val="24"/>
                <w:szCs w:val="24"/>
              </w:rPr>
              <w:br w:type="textWrapping"/>
            </w:r>
            <w:r>
              <w:rPr>
                <w:rFonts w:hint="eastAsia" w:ascii="仿宋" w:hAnsi="仿宋" w:eastAsia="仿宋"/>
                <w:kern w:val="0"/>
                <w:sz w:val="24"/>
                <w:szCs w:val="24"/>
              </w:rPr>
              <w:t>一般情况下，评标价得分计算分值以保留两位小数为准，但当只保留两位小数无法区分评标价得分值的高低时，可顺延小数位数取值，直至可区分高低为止。</w:t>
            </w:r>
          </w:p>
        </w:tc>
        <w:tc>
          <w:tcPr>
            <w:tcW w:w="236" w:type="dxa"/>
            <w:gridSpan w:val="3"/>
            <w:tcBorders>
              <w:top w:val="nil"/>
              <w:left w:val="nil"/>
              <w:bottom w:val="nil"/>
              <w:right w:val="nil"/>
            </w:tcBorders>
          </w:tcPr>
          <w:p w14:paraId="3FF82540">
            <w:pPr>
              <w:widowControl/>
              <w:jc w:val="left"/>
              <w:rPr>
                <w:rFonts w:ascii="仿宋" w:hAnsi="仿宋" w:eastAsia="仿宋" w:cs="Times New Roman"/>
                <w:kern w:val="0"/>
                <w:sz w:val="24"/>
                <w:szCs w:val="24"/>
              </w:rPr>
            </w:pPr>
          </w:p>
        </w:tc>
      </w:tr>
      <w:tr w14:paraId="2FD9D35B">
        <w:tblPrEx>
          <w:tblCellMar>
            <w:top w:w="0" w:type="dxa"/>
            <w:left w:w="108" w:type="dxa"/>
            <w:bottom w:w="0" w:type="dxa"/>
            <w:right w:w="108" w:type="dxa"/>
          </w:tblCellMar>
        </w:tblPrEx>
        <w:trPr>
          <w:gridAfter w:val="7"/>
          <w:wAfter w:w="2314" w:type="dxa"/>
          <w:trHeight w:val="2910" w:hRule="atLeast"/>
        </w:trPr>
        <w:tc>
          <w:tcPr>
            <w:tcW w:w="10564" w:type="dxa"/>
            <w:gridSpan w:val="6"/>
            <w:tcBorders>
              <w:top w:val="nil"/>
              <w:left w:val="nil"/>
              <w:bottom w:val="nil"/>
              <w:right w:val="nil"/>
            </w:tcBorders>
          </w:tcPr>
          <w:p w14:paraId="1159110C">
            <w:pPr>
              <w:widowControl/>
              <w:spacing w:after="240"/>
              <w:jc w:val="left"/>
              <w:rPr>
                <w:rFonts w:ascii="仿宋" w:hAnsi="仿宋" w:eastAsia="仿宋" w:cs="Times New Roman"/>
                <w:kern w:val="0"/>
                <w:sz w:val="24"/>
                <w:szCs w:val="24"/>
              </w:rPr>
            </w:pPr>
            <w:r>
              <w:rPr>
                <w:rFonts w:hint="eastAsia" w:ascii="仿宋" w:hAnsi="仿宋" w:eastAsia="仿宋"/>
                <w:kern w:val="0"/>
                <w:sz w:val="24"/>
                <w:szCs w:val="24"/>
              </w:rPr>
              <w:t>2.评审小组按照本中心机关自行性采购管理实施办法在评审过程中出现无法继续评审的情况，可参照政府采购法及相关招标文件范本进行评审，对是否需要重新采购提出评审意见。</w:t>
            </w:r>
            <w:r>
              <w:rPr>
                <w:rFonts w:hint="eastAsia" w:ascii="仿宋" w:hAnsi="仿宋" w:eastAsia="仿宋" w:cs="Times New Roman"/>
                <w:kern w:val="0"/>
                <w:sz w:val="24"/>
                <w:szCs w:val="24"/>
              </w:rPr>
              <w:br w:type="textWrapping"/>
            </w:r>
            <w:r>
              <w:rPr>
                <w:rFonts w:hint="eastAsia" w:ascii="仿宋" w:hAnsi="仿宋" w:eastAsia="仿宋"/>
                <w:b/>
                <w:kern w:val="0"/>
                <w:sz w:val="24"/>
                <w:szCs w:val="24"/>
              </w:rPr>
              <w:t>十八、响应文件格式（详见附件1）</w:t>
            </w:r>
            <w:r>
              <w:rPr>
                <w:rFonts w:hint="eastAsia" w:ascii="仿宋" w:hAnsi="仿宋" w:eastAsia="仿宋" w:cs="Times New Roman"/>
                <w:kern w:val="0"/>
                <w:sz w:val="24"/>
                <w:szCs w:val="24"/>
              </w:rPr>
              <w:br w:type="textWrapping"/>
            </w:r>
            <w:r>
              <w:rPr>
                <w:rFonts w:hint="eastAsia" w:ascii="仿宋" w:hAnsi="仿宋" w:eastAsia="仿宋"/>
                <w:kern w:val="0"/>
                <w:sz w:val="24"/>
                <w:szCs w:val="24"/>
              </w:rPr>
              <w:t>(一)报价函及报价清单。</w:t>
            </w:r>
            <w:r>
              <w:rPr>
                <w:rFonts w:hint="eastAsia" w:ascii="仿宋" w:hAnsi="仿宋" w:eastAsia="仿宋" w:cs="Times New Roman"/>
                <w:kern w:val="0"/>
                <w:sz w:val="24"/>
                <w:szCs w:val="24"/>
              </w:rPr>
              <w:br w:type="textWrapping"/>
            </w:r>
            <w:r>
              <w:rPr>
                <w:rFonts w:hint="eastAsia" w:ascii="仿宋" w:hAnsi="仿宋" w:eastAsia="仿宋"/>
                <w:kern w:val="0"/>
                <w:sz w:val="24"/>
                <w:szCs w:val="24"/>
              </w:rPr>
              <w:t>(二)供应商的营业执照、资质证书及法人代表身份证复印件并加盖公章。</w:t>
            </w:r>
            <w:r>
              <w:rPr>
                <w:rFonts w:hint="eastAsia" w:ascii="仿宋" w:hAnsi="仿宋" w:eastAsia="仿宋" w:cs="Times New Roman"/>
                <w:kern w:val="0"/>
                <w:sz w:val="24"/>
                <w:szCs w:val="24"/>
              </w:rPr>
              <w:br w:type="textWrapping"/>
            </w:r>
            <w:r>
              <w:rPr>
                <w:rFonts w:hint="eastAsia" w:ascii="仿宋" w:hAnsi="仿宋" w:eastAsia="仿宋"/>
                <w:b/>
                <w:kern w:val="0"/>
                <w:sz w:val="24"/>
                <w:szCs w:val="24"/>
              </w:rPr>
              <w:t>十九、附表</w:t>
            </w:r>
            <w:r>
              <w:rPr>
                <w:rFonts w:hint="eastAsia" w:ascii="仿宋" w:hAnsi="仿宋" w:eastAsia="仿宋" w:cs="Times New Roman"/>
                <w:kern w:val="0"/>
                <w:sz w:val="24"/>
                <w:szCs w:val="24"/>
              </w:rPr>
              <w:br w:type="textWrapping"/>
            </w:r>
            <w:r>
              <w:rPr>
                <w:rFonts w:hint="eastAsia" w:ascii="仿宋" w:hAnsi="仿宋" w:eastAsia="仿宋"/>
                <w:b/>
                <w:kern w:val="0"/>
                <w:sz w:val="24"/>
                <w:szCs w:val="24"/>
              </w:rPr>
              <w:t>二十、</w:t>
            </w:r>
            <w:r>
              <w:rPr>
                <w:rFonts w:hint="eastAsia" w:ascii="仿宋" w:hAnsi="仿宋" w:eastAsia="仿宋"/>
                <w:kern w:val="0"/>
                <w:sz w:val="24"/>
                <w:szCs w:val="24"/>
              </w:rPr>
              <w:t>询价结果公示网站:广西壮族自治区桂中公路发展中心门户网站https://www.gzglfzzx.com/</w:t>
            </w:r>
            <w:r>
              <w:rPr>
                <w:rFonts w:hint="eastAsia" w:ascii="仿宋" w:hAnsi="仿宋" w:eastAsia="仿宋"/>
                <w:kern w:val="0"/>
                <w:sz w:val="24"/>
                <w:szCs w:val="24"/>
              </w:rPr>
              <w:br w:type="textWrapping"/>
            </w:r>
            <w:r>
              <w:rPr>
                <w:rFonts w:hint="eastAsia" w:ascii="仿宋" w:hAnsi="仿宋" w:eastAsia="仿宋"/>
                <w:b/>
                <w:kern w:val="0"/>
                <w:sz w:val="24"/>
                <w:szCs w:val="24"/>
              </w:rPr>
              <w:t>二十一、</w:t>
            </w:r>
            <w:r>
              <w:rPr>
                <w:rFonts w:hint="eastAsia" w:ascii="仿宋" w:hAnsi="仿宋" w:eastAsia="仿宋"/>
                <w:kern w:val="0"/>
                <w:sz w:val="24"/>
                <w:szCs w:val="24"/>
              </w:rPr>
              <w:t>本次询价采购联系方式</w:t>
            </w:r>
            <w:r>
              <w:rPr>
                <w:rFonts w:hint="eastAsia" w:ascii="仿宋" w:hAnsi="仿宋" w:eastAsia="仿宋" w:cs="Times New Roman"/>
                <w:kern w:val="0"/>
                <w:sz w:val="24"/>
                <w:szCs w:val="24"/>
              </w:rPr>
              <w:br w:type="textWrapping"/>
            </w:r>
            <w:r>
              <w:rPr>
                <w:rFonts w:hint="eastAsia" w:ascii="仿宋" w:hAnsi="仿宋" w:eastAsia="仿宋"/>
                <w:kern w:val="0"/>
                <w:sz w:val="24"/>
                <w:szCs w:val="24"/>
              </w:rPr>
              <w:t>联 系 人：何工  联系电话：0772-3206803  地址：柳州市航银路33号（邮编：545005）</w:t>
            </w:r>
          </w:p>
        </w:tc>
      </w:tr>
      <w:tr w14:paraId="7696037A">
        <w:tblPrEx>
          <w:tblCellMar>
            <w:top w:w="0" w:type="dxa"/>
            <w:left w:w="108" w:type="dxa"/>
            <w:bottom w:w="0" w:type="dxa"/>
            <w:right w:w="108" w:type="dxa"/>
          </w:tblCellMar>
        </w:tblPrEx>
        <w:trPr>
          <w:gridAfter w:val="7"/>
          <w:wAfter w:w="2314" w:type="dxa"/>
          <w:trHeight w:val="360" w:hRule="atLeast"/>
        </w:trPr>
        <w:tc>
          <w:tcPr>
            <w:tcW w:w="10564" w:type="dxa"/>
            <w:gridSpan w:val="6"/>
            <w:tcBorders>
              <w:top w:val="nil"/>
              <w:left w:val="nil"/>
              <w:bottom w:val="nil"/>
              <w:right w:val="nil"/>
            </w:tcBorders>
          </w:tcPr>
          <w:p w14:paraId="0D661B8E">
            <w:pPr>
              <w:widowControl/>
              <w:jc w:val="right"/>
              <w:rPr>
                <w:rFonts w:ascii="仿宋" w:hAnsi="仿宋" w:eastAsia="仿宋" w:cs="Times New Roman"/>
                <w:kern w:val="0"/>
                <w:sz w:val="24"/>
                <w:szCs w:val="24"/>
              </w:rPr>
            </w:pPr>
            <w:r>
              <w:rPr>
                <w:rFonts w:hint="eastAsia" w:ascii="仿宋" w:hAnsi="仿宋" w:eastAsia="仿宋"/>
                <w:kern w:val="0"/>
                <w:sz w:val="24"/>
                <w:szCs w:val="24"/>
              </w:rPr>
              <w:t>广西壮族自治区桂中公路发展中心</w:t>
            </w:r>
          </w:p>
        </w:tc>
      </w:tr>
      <w:tr w14:paraId="3C7C2406">
        <w:tblPrEx>
          <w:tblCellMar>
            <w:top w:w="0" w:type="dxa"/>
            <w:left w:w="108" w:type="dxa"/>
            <w:bottom w:w="0" w:type="dxa"/>
            <w:right w:w="108" w:type="dxa"/>
          </w:tblCellMar>
        </w:tblPrEx>
        <w:trPr>
          <w:gridAfter w:val="7"/>
          <w:wAfter w:w="2314" w:type="dxa"/>
          <w:trHeight w:val="435" w:hRule="atLeast"/>
        </w:trPr>
        <w:tc>
          <w:tcPr>
            <w:tcW w:w="10564" w:type="dxa"/>
            <w:gridSpan w:val="6"/>
            <w:tcBorders>
              <w:top w:val="nil"/>
              <w:left w:val="nil"/>
              <w:bottom w:val="nil"/>
              <w:right w:val="nil"/>
            </w:tcBorders>
          </w:tcPr>
          <w:p w14:paraId="69A9B6CB">
            <w:pPr>
              <w:widowControl/>
              <w:jc w:val="right"/>
              <w:rPr>
                <w:rFonts w:ascii="仿宋" w:hAnsi="仿宋" w:eastAsia="仿宋" w:cs="Times New Roman"/>
                <w:kern w:val="0"/>
                <w:sz w:val="24"/>
                <w:szCs w:val="24"/>
              </w:rPr>
            </w:pPr>
            <w:r>
              <w:rPr>
                <w:rFonts w:hint="eastAsia" w:ascii="仿宋" w:hAnsi="仿宋" w:eastAsia="仿宋"/>
                <w:kern w:val="0"/>
                <w:sz w:val="24"/>
                <w:szCs w:val="24"/>
              </w:rPr>
              <w:t>2024年12月5日</w:t>
            </w:r>
          </w:p>
        </w:tc>
      </w:tr>
      <w:tr w14:paraId="75F7AC33">
        <w:tblPrEx>
          <w:tblCellMar>
            <w:top w:w="0" w:type="dxa"/>
            <w:left w:w="108" w:type="dxa"/>
            <w:bottom w:w="0" w:type="dxa"/>
            <w:right w:w="108" w:type="dxa"/>
          </w:tblCellMar>
        </w:tblPrEx>
        <w:trPr>
          <w:gridAfter w:val="3"/>
          <w:wAfter w:w="678" w:type="dxa"/>
          <w:trHeight w:val="1411" w:hRule="atLeast"/>
        </w:trPr>
        <w:tc>
          <w:tcPr>
            <w:tcW w:w="10640" w:type="dxa"/>
            <w:gridSpan w:val="7"/>
            <w:tcBorders>
              <w:top w:val="nil"/>
              <w:left w:val="nil"/>
              <w:bottom w:val="nil"/>
              <w:right w:val="nil"/>
            </w:tcBorders>
            <w:vAlign w:val="center"/>
          </w:tcPr>
          <w:p w14:paraId="49ADAFFF">
            <w:pPr>
              <w:widowControl/>
              <w:jc w:val="center"/>
              <w:rPr>
                <w:rFonts w:ascii="宋体" w:cs="Times New Roman"/>
                <w:kern w:val="0"/>
                <w:sz w:val="24"/>
                <w:szCs w:val="24"/>
              </w:rPr>
            </w:pPr>
            <w:r>
              <w:rPr>
                <w:rFonts w:hint="eastAsia" w:ascii="宋体" w:hAnsi="宋体"/>
                <w:kern w:val="0"/>
                <w:sz w:val="24"/>
                <w:szCs w:val="24"/>
              </w:rPr>
              <w:t>报价函（格式）</w:t>
            </w:r>
          </w:p>
        </w:tc>
        <w:tc>
          <w:tcPr>
            <w:tcW w:w="1560" w:type="dxa"/>
            <w:gridSpan w:val="3"/>
            <w:tcBorders>
              <w:top w:val="nil"/>
              <w:left w:val="nil"/>
              <w:bottom w:val="nil"/>
              <w:right w:val="nil"/>
            </w:tcBorders>
            <w:vAlign w:val="center"/>
          </w:tcPr>
          <w:p w14:paraId="6A20A4A4">
            <w:pPr>
              <w:widowControl/>
              <w:jc w:val="center"/>
              <w:rPr>
                <w:rFonts w:ascii="宋体" w:cs="Times New Roman"/>
                <w:kern w:val="0"/>
                <w:sz w:val="24"/>
                <w:szCs w:val="24"/>
              </w:rPr>
            </w:pPr>
          </w:p>
        </w:tc>
      </w:tr>
      <w:tr w14:paraId="32B1BE87">
        <w:tblPrEx>
          <w:tblCellMar>
            <w:top w:w="0" w:type="dxa"/>
            <w:left w:w="108" w:type="dxa"/>
            <w:bottom w:w="0" w:type="dxa"/>
            <w:right w:w="108" w:type="dxa"/>
          </w:tblCellMar>
        </w:tblPrEx>
        <w:trPr>
          <w:gridAfter w:val="3"/>
          <w:wAfter w:w="678" w:type="dxa"/>
          <w:trHeight w:val="510" w:hRule="atLeast"/>
        </w:trPr>
        <w:tc>
          <w:tcPr>
            <w:tcW w:w="10640" w:type="dxa"/>
            <w:gridSpan w:val="7"/>
            <w:tcBorders>
              <w:top w:val="nil"/>
              <w:left w:val="nil"/>
              <w:bottom w:val="nil"/>
              <w:right w:val="nil"/>
            </w:tcBorders>
            <w:vAlign w:val="center"/>
          </w:tcPr>
          <w:p w14:paraId="2E10AF13">
            <w:pPr>
              <w:widowControl/>
              <w:jc w:val="left"/>
              <w:rPr>
                <w:rFonts w:ascii="宋体" w:cs="Times New Roman"/>
                <w:kern w:val="0"/>
                <w:sz w:val="24"/>
                <w:szCs w:val="24"/>
              </w:rPr>
            </w:pPr>
            <w:r>
              <w:rPr>
                <w:rFonts w:hint="eastAsia" w:ascii="宋体" w:hAnsi="宋体"/>
                <w:kern w:val="0"/>
                <w:sz w:val="24"/>
                <w:szCs w:val="24"/>
              </w:rPr>
              <w:t>广西壮族自治区桂中公路发展中心：</w:t>
            </w:r>
          </w:p>
        </w:tc>
        <w:tc>
          <w:tcPr>
            <w:tcW w:w="1560" w:type="dxa"/>
            <w:gridSpan w:val="3"/>
            <w:tcBorders>
              <w:top w:val="nil"/>
              <w:left w:val="nil"/>
              <w:bottom w:val="nil"/>
              <w:right w:val="nil"/>
            </w:tcBorders>
            <w:vAlign w:val="center"/>
          </w:tcPr>
          <w:p w14:paraId="59260940">
            <w:pPr>
              <w:widowControl/>
              <w:jc w:val="left"/>
              <w:rPr>
                <w:rFonts w:ascii="宋体" w:cs="Times New Roman"/>
                <w:kern w:val="0"/>
                <w:sz w:val="24"/>
                <w:szCs w:val="24"/>
              </w:rPr>
            </w:pPr>
          </w:p>
        </w:tc>
      </w:tr>
      <w:tr w14:paraId="63C80B7D">
        <w:tblPrEx>
          <w:tblCellMar>
            <w:top w:w="0" w:type="dxa"/>
            <w:left w:w="108" w:type="dxa"/>
            <w:bottom w:w="0" w:type="dxa"/>
            <w:right w:w="108" w:type="dxa"/>
          </w:tblCellMar>
        </w:tblPrEx>
        <w:trPr>
          <w:gridAfter w:val="3"/>
          <w:wAfter w:w="678" w:type="dxa"/>
          <w:trHeight w:val="2100" w:hRule="atLeast"/>
        </w:trPr>
        <w:tc>
          <w:tcPr>
            <w:tcW w:w="10640" w:type="dxa"/>
            <w:gridSpan w:val="7"/>
            <w:tcBorders>
              <w:top w:val="nil"/>
              <w:left w:val="nil"/>
              <w:bottom w:val="nil"/>
              <w:right w:val="nil"/>
            </w:tcBorders>
          </w:tcPr>
          <w:p w14:paraId="51AE0D35">
            <w:pPr>
              <w:widowControl/>
              <w:jc w:val="left"/>
              <w:rPr>
                <w:rFonts w:ascii="仿宋_GB2312" w:hAnsi="宋体" w:eastAsia="仿宋_GB2312" w:cs="Times New Roman"/>
                <w:kern w:val="0"/>
                <w:sz w:val="24"/>
                <w:szCs w:val="24"/>
              </w:rPr>
            </w:pPr>
            <w:bookmarkStart w:id="6" w:name="OLE_LINK8"/>
            <w:r>
              <w:rPr>
                <w:rFonts w:hint="eastAsia" w:ascii="仿宋_GB2312" w:hAnsi="宋体" w:eastAsia="仿宋_GB2312"/>
                <w:kern w:val="0"/>
                <w:sz w:val="24"/>
                <w:szCs w:val="24"/>
              </w:rPr>
              <w:t>1、我方已仔细研究了2025年政府还贷二级公路取消收费后补助资金项目（普通国省道公路路面养护工程）设计服务(NO.   标段)询价采购邀请公告</w:t>
            </w:r>
            <w:bookmarkStart w:id="7" w:name="OLE_LINK7"/>
            <w:r>
              <w:rPr>
                <w:rFonts w:hint="eastAsia" w:ascii="仿宋_GB2312" w:hAnsi="宋体" w:eastAsia="仿宋_GB2312"/>
                <w:kern w:val="0"/>
                <w:sz w:val="24"/>
                <w:szCs w:val="24"/>
              </w:rPr>
              <w:t>（含补遗号）</w:t>
            </w:r>
            <w:bookmarkEnd w:id="7"/>
            <w:r>
              <w:rPr>
                <w:rFonts w:hint="eastAsia" w:ascii="仿宋_GB2312" w:hAnsi="宋体" w:eastAsia="仿宋_GB2312"/>
                <w:kern w:val="0"/>
                <w:sz w:val="24"/>
                <w:szCs w:val="24"/>
              </w:rPr>
              <w:t>的全部内容，依据询价采购邀请公告的采购内容及要求愿意以人民币（大写</w:t>
            </w:r>
            <w:r>
              <w:rPr>
                <w:rFonts w:hint="eastAsia" w:ascii="仿宋_GB2312" w:hAnsi="宋体" w:eastAsia="仿宋_GB2312"/>
                <w:kern w:val="0"/>
                <w:sz w:val="24"/>
                <w:szCs w:val="24"/>
                <w:u w:val="single"/>
              </w:rPr>
              <w:t xml:space="preserve">）        </w:t>
            </w:r>
            <w:r>
              <w:rPr>
                <w:rFonts w:hint="eastAsia" w:ascii="仿宋_GB2312" w:hAnsi="宋体" w:eastAsia="仿宋_GB2312"/>
                <w:kern w:val="0"/>
                <w:sz w:val="24"/>
                <w:szCs w:val="24"/>
              </w:rPr>
              <w:t>元（小写）作为本次询价的总报价，工期要求</w:t>
            </w:r>
            <w:r>
              <w:rPr>
                <w:rFonts w:hint="eastAsia" w:ascii="仿宋_GB2312" w:hAnsi="宋体" w:eastAsia="仿宋_GB2312"/>
                <w:kern w:val="0"/>
                <w:sz w:val="24"/>
                <w:szCs w:val="24"/>
                <w:u w:val="single"/>
              </w:rPr>
              <w:t xml:space="preserve">：              </w:t>
            </w:r>
            <w:r>
              <w:rPr>
                <w:rFonts w:hint="eastAsia" w:ascii="仿宋_GB2312" w:hAnsi="宋体" w:eastAsia="仿宋_GB2312"/>
                <w:kern w:val="0"/>
                <w:sz w:val="24"/>
                <w:szCs w:val="24"/>
              </w:rPr>
              <w:t>，质量要求：，安全要求。我方在服务期间按询价采购邀请公告规定的内容承担该项目的全部工作，严格履行我方的义务并承担相应的责任。上述报价已包括项目中所有直接与间接成本及费用开支、应缴税金和合理利润。</w:t>
            </w:r>
            <w:bookmarkEnd w:id="6"/>
          </w:p>
        </w:tc>
        <w:tc>
          <w:tcPr>
            <w:tcW w:w="1560" w:type="dxa"/>
            <w:gridSpan w:val="3"/>
            <w:tcBorders>
              <w:top w:val="nil"/>
              <w:left w:val="nil"/>
              <w:bottom w:val="nil"/>
              <w:right w:val="nil"/>
            </w:tcBorders>
          </w:tcPr>
          <w:p w14:paraId="1A2BCB5C">
            <w:pPr>
              <w:widowControl/>
              <w:jc w:val="left"/>
              <w:rPr>
                <w:rFonts w:ascii="仿宋_GB2312" w:hAnsi="宋体" w:eastAsia="仿宋_GB2312" w:cs="Times New Roman"/>
                <w:kern w:val="0"/>
                <w:sz w:val="24"/>
                <w:szCs w:val="24"/>
              </w:rPr>
            </w:pPr>
          </w:p>
        </w:tc>
      </w:tr>
      <w:tr w14:paraId="6C6604E1">
        <w:tblPrEx>
          <w:tblCellMar>
            <w:top w:w="0" w:type="dxa"/>
            <w:left w:w="108" w:type="dxa"/>
            <w:bottom w:w="0" w:type="dxa"/>
            <w:right w:w="108" w:type="dxa"/>
          </w:tblCellMar>
        </w:tblPrEx>
        <w:trPr>
          <w:gridAfter w:val="3"/>
          <w:wAfter w:w="678" w:type="dxa"/>
          <w:trHeight w:val="2625" w:hRule="atLeast"/>
        </w:trPr>
        <w:tc>
          <w:tcPr>
            <w:tcW w:w="10640" w:type="dxa"/>
            <w:gridSpan w:val="7"/>
            <w:tcBorders>
              <w:top w:val="nil"/>
              <w:left w:val="nil"/>
              <w:bottom w:val="nil"/>
              <w:right w:val="nil"/>
            </w:tcBorders>
          </w:tcPr>
          <w:p w14:paraId="00991083">
            <w:pPr>
              <w:widowControl/>
              <w:jc w:val="left"/>
              <w:rPr>
                <w:rFonts w:ascii="仿宋_GB2312" w:hAnsi="宋体" w:eastAsia="仿宋_GB2312" w:cs="Times New Roman"/>
                <w:kern w:val="0"/>
                <w:sz w:val="24"/>
                <w:szCs w:val="24"/>
              </w:rPr>
            </w:pPr>
            <w:r>
              <w:rPr>
                <w:rFonts w:hint="eastAsia" w:ascii="仿宋_GB2312" w:hAnsi="宋体" w:eastAsia="仿宋_GB2312"/>
                <w:kern w:val="0"/>
                <w:sz w:val="24"/>
                <w:szCs w:val="24"/>
              </w:rPr>
              <w:t xml:space="preserve">  2、我方同意提供按照贵方可能要求的与本报价有关的一切数据或资料。</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 xml:space="preserve">  3、我方同意从递交报价文件截止之日起天内保持报价文件有效，在此有效期内我们将严格遵守报价文件的承诺，在此期限届满之前，本报价文件始终对我方具有约束力，并可随时被接受成交。</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 xml:space="preserve">  4、除报价文件所提交的资料外，我方同意随时接受贵方的检查、询问，并根据评标的需要补充贵方提交的资料。</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 xml:space="preserve">  5、如果贵方接受我方报价，我方保证按报价文件规定期限内开始本项目。</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 xml:space="preserve">  6、如果我方成交后没有正当理由而拒绝签订合同或没有按报价文件规定的期限内开始本项目，我们愿意补偿贵方因该项目延误造成的经济损失。</w:t>
            </w:r>
          </w:p>
        </w:tc>
        <w:tc>
          <w:tcPr>
            <w:tcW w:w="1560" w:type="dxa"/>
            <w:gridSpan w:val="3"/>
            <w:tcBorders>
              <w:top w:val="nil"/>
              <w:left w:val="nil"/>
              <w:bottom w:val="nil"/>
              <w:right w:val="nil"/>
            </w:tcBorders>
          </w:tcPr>
          <w:p w14:paraId="1FDEFC52">
            <w:pPr>
              <w:widowControl/>
              <w:jc w:val="left"/>
              <w:rPr>
                <w:rFonts w:ascii="仿宋_GB2312" w:hAnsi="宋体" w:eastAsia="仿宋_GB2312" w:cs="Times New Roman"/>
                <w:kern w:val="0"/>
                <w:sz w:val="24"/>
                <w:szCs w:val="24"/>
              </w:rPr>
            </w:pPr>
          </w:p>
        </w:tc>
      </w:tr>
      <w:tr w14:paraId="07CFA30D">
        <w:tblPrEx>
          <w:tblCellMar>
            <w:top w:w="0" w:type="dxa"/>
            <w:left w:w="108" w:type="dxa"/>
            <w:bottom w:w="0" w:type="dxa"/>
            <w:right w:w="108" w:type="dxa"/>
          </w:tblCellMar>
        </w:tblPrEx>
        <w:trPr>
          <w:gridAfter w:val="3"/>
          <w:wAfter w:w="678" w:type="dxa"/>
          <w:trHeight w:val="5820" w:hRule="atLeast"/>
        </w:trPr>
        <w:tc>
          <w:tcPr>
            <w:tcW w:w="10640" w:type="dxa"/>
            <w:gridSpan w:val="7"/>
            <w:tcBorders>
              <w:top w:val="nil"/>
              <w:left w:val="nil"/>
              <w:bottom w:val="nil"/>
              <w:right w:val="nil"/>
            </w:tcBorders>
          </w:tcPr>
          <w:p w14:paraId="11AEE3E0">
            <w:pPr>
              <w:widowControl/>
              <w:jc w:val="left"/>
              <w:rPr>
                <w:rFonts w:ascii="仿宋_GB2312" w:hAnsi="宋体" w:eastAsia="仿宋_GB2312" w:cs="Times New Roman"/>
                <w:kern w:val="0"/>
                <w:sz w:val="24"/>
                <w:szCs w:val="24"/>
              </w:rPr>
            </w:pPr>
            <w:r>
              <w:rPr>
                <w:rFonts w:hint="eastAsia" w:ascii="仿宋_GB2312" w:hAnsi="宋体" w:eastAsia="仿宋_GB2312"/>
                <w:kern w:val="0"/>
                <w:sz w:val="24"/>
                <w:szCs w:val="24"/>
              </w:rPr>
              <w:t xml:space="preserve">  7、若我方所投的    个标段综合得分同时排名第一，贵方可按以下中标意向优先顺序确定中标标段：第一中标意向：No.   标段；第二中标意向：No.   标段。（注：此项仅对于投两个及以上标段的投标人而言。若投标人在投标函中未对此项进行明确或所填写的优先顺序错误致使评标委员会无法确定优先顺序，当该投标人所投两个标段综合得分同时排名第一时，招标人将视投标人放弃优先选择标段的权力，评标委员会将按照标段排列的先后顺序依次推荐中标标段和中标单位。）</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与本询价有关的正式通讯地址为：</w:t>
            </w:r>
            <w:r>
              <w:rPr>
                <w:rFonts w:hint="eastAsia" w:ascii="仿宋_GB2312" w:hAnsi="宋体" w:eastAsia="仿宋_GB2312" w:cs="Times New Roman"/>
                <w:kern w:val="0"/>
                <w:sz w:val="24"/>
                <w:szCs w:val="24"/>
              </w:rPr>
              <w:br w:type="textWrapping"/>
            </w:r>
            <w:r>
              <w:rPr>
                <w:rFonts w:hint="eastAsia" w:ascii="仿宋_GB2312" w:hAnsi="宋体" w:eastAsia="仿宋_GB2312"/>
                <w:kern w:val="0"/>
                <w:sz w:val="24"/>
                <w:szCs w:val="24"/>
              </w:rPr>
              <w:t xml:space="preserve">供应商名称：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地   址：                                 邮政编码：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电话、电报、传真或电传：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开户名称：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开户银行：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帐  号：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法定代表人或委托代理人签名或盖章：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供应商盖公章：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 xml:space="preserve">日  期：                                                   </w:t>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br w:type="textWrapping"/>
            </w:r>
            <w:r>
              <w:rPr>
                <w:rFonts w:hint="eastAsia" w:ascii="仿宋_GB2312" w:hAnsi="宋体" w:eastAsia="仿宋_GB2312"/>
                <w:kern w:val="0"/>
                <w:sz w:val="24"/>
                <w:szCs w:val="24"/>
              </w:rPr>
              <w:t>注：未按照本询价采购邀请公告要求填报的报价函将被视为非实质性响应询价，从而导致该询价被拒绝。</w:t>
            </w:r>
          </w:p>
        </w:tc>
        <w:tc>
          <w:tcPr>
            <w:tcW w:w="1560" w:type="dxa"/>
            <w:gridSpan w:val="3"/>
            <w:tcBorders>
              <w:top w:val="nil"/>
              <w:left w:val="nil"/>
              <w:bottom w:val="nil"/>
              <w:right w:val="nil"/>
            </w:tcBorders>
          </w:tcPr>
          <w:p w14:paraId="23E398B8">
            <w:pPr>
              <w:widowControl/>
              <w:jc w:val="left"/>
              <w:rPr>
                <w:rFonts w:ascii="仿宋_GB2312" w:hAnsi="宋体" w:eastAsia="仿宋_GB2312" w:cs="Times New Roman"/>
                <w:kern w:val="0"/>
                <w:sz w:val="24"/>
                <w:szCs w:val="24"/>
              </w:rPr>
            </w:pPr>
          </w:p>
        </w:tc>
      </w:tr>
    </w:tbl>
    <w:p w14:paraId="4D66674F">
      <w:pPr>
        <w:rPr>
          <w:rFonts w:cs="Times New Roman"/>
        </w:rPr>
      </w:pPr>
    </w:p>
    <w:p w14:paraId="3D1F43EA">
      <w:pPr>
        <w:rPr>
          <w:rFonts w:cs="Times New Roman"/>
        </w:rPr>
      </w:pPr>
    </w:p>
    <w:p w14:paraId="26B01229">
      <w:pPr>
        <w:rPr>
          <w:rFonts w:ascii="宋体" w:hAnsi="宋体"/>
          <w:sz w:val="24"/>
          <w:szCs w:val="24"/>
          <w:shd w:val="clear" w:color="auto" w:fill="FFFFFF"/>
        </w:rPr>
      </w:pPr>
    </w:p>
    <w:p w14:paraId="00ADEBD8">
      <w:pPr>
        <w:rPr>
          <w:rFonts w:ascii="宋体" w:hAnsi="宋体"/>
          <w:sz w:val="24"/>
          <w:szCs w:val="24"/>
          <w:shd w:val="clear" w:color="auto" w:fill="FFFFFF"/>
        </w:rPr>
      </w:pPr>
    </w:p>
    <w:p w14:paraId="402EB6F6">
      <w:pPr>
        <w:rPr>
          <w:rFonts w:ascii="宋体" w:hAnsi="宋体"/>
          <w:sz w:val="24"/>
          <w:szCs w:val="24"/>
          <w:shd w:val="clear" w:color="auto" w:fill="FFFFFF"/>
        </w:rPr>
      </w:pPr>
    </w:p>
    <w:p w14:paraId="1107E883">
      <w:pPr>
        <w:rPr>
          <w:rFonts w:ascii="宋体" w:hAnsi="宋体"/>
          <w:sz w:val="24"/>
          <w:szCs w:val="24"/>
          <w:shd w:val="clear" w:color="auto" w:fill="FFFFFF"/>
        </w:rPr>
      </w:pPr>
    </w:p>
    <w:p w14:paraId="51EF9497">
      <w:pPr>
        <w:rPr>
          <w:rFonts w:ascii="宋体" w:hAnsi="宋体"/>
          <w:sz w:val="24"/>
          <w:szCs w:val="24"/>
          <w:shd w:val="clear" w:color="auto" w:fill="FFFFFF"/>
        </w:rPr>
      </w:pPr>
    </w:p>
    <w:p w14:paraId="65142299">
      <w:pPr>
        <w:rPr>
          <w:rFonts w:ascii="宋体" w:hAnsi="宋体"/>
          <w:sz w:val="24"/>
          <w:szCs w:val="24"/>
          <w:shd w:val="clear" w:color="auto" w:fill="FFFFFF"/>
        </w:rPr>
      </w:pPr>
    </w:p>
    <w:tbl>
      <w:tblPr>
        <w:tblStyle w:val="5"/>
        <w:tblW w:w="8096" w:type="dxa"/>
        <w:tblInd w:w="92" w:type="dxa"/>
        <w:tblLayout w:type="autofit"/>
        <w:tblCellMar>
          <w:top w:w="0" w:type="dxa"/>
          <w:left w:w="108" w:type="dxa"/>
          <w:bottom w:w="0" w:type="dxa"/>
          <w:right w:w="108" w:type="dxa"/>
        </w:tblCellMar>
      </w:tblPr>
      <w:tblGrid>
        <w:gridCol w:w="1640"/>
        <w:gridCol w:w="880"/>
        <w:gridCol w:w="1360"/>
        <w:gridCol w:w="1080"/>
        <w:gridCol w:w="3136"/>
      </w:tblGrid>
      <w:tr w14:paraId="44982782">
        <w:tblPrEx>
          <w:tblCellMar>
            <w:top w:w="0" w:type="dxa"/>
            <w:left w:w="108" w:type="dxa"/>
            <w:bottom w:w="0" w:type="dxa"/>
            <w:right w:w="108" w:type="dxa"/>
          </w:tblCellMar>
        </w:tblPrEx>
        <w:trPr>
          <w:trHeight w:val="510" w:hRule="atLeast"/>
        </w:trPr>
        <w:tc>
          <w:tcPr>
            <w:tcW w:w="1640" w:type="dxa"/>
            <w:tcBorders>
              <w:top w:val="nil"/>
              <w:left w:val="nil"/>
              <w:bottom w:val="nil"/>
              <w:right w:val="nil"/>
            </w:tcBorders>
            <w:shd w:val="clear" w:color="auto" w:fill="auto"/>
            <w:noWrap/>
            <w:vAlign w:val="center"/>
          </w:tcPr>
          <w:p w14:paraId="0339C16B">
            <w:pPr>
              <w:widowControl/>
              <w:jc w:val="left"/>
              <w:rPr>
                <w:rFonts w:ascii="宋体" w:hAnsi="宋体"/>
                <w:kern w:val="0"/>
                <w:sz w:val="28"/>
                <w:szCs w:val="28"/>
              </w:rPr>
            </w:pPr>
          </w:p>
        </w:tc>
        <w:tc>
          <w:tcPr>
            <w:tcW w:w="880" w:type="dxa"/>
            <w:tcBorders>
              <w:top w:val="nil"/>
              <w:left w:val="nil"/>
              <w:bottom w:val="nil"/>
              <w:right w:val="nil"/>
            </w:tcBorders>
            <w:shd w:val="clear" w:color="auto" w:fill="auto"/>
            <w:noWrap/>
            <w:vAlign w:val="center"/>
          </w:tcPr>
          <w:p w14:paraId="43826524">
            <w:pPr>
              <w:widowControl/>
              <w:jc w:val="left"/>
              <w:rPr>
                <w:rFonts w:ascii="宋体" w:hAnsi="宋体"/>
                <w:kern w:val="0"/>
                <w:sz w:val="28"/>
                <w:szCs w:val="28"/>
              </w:rPr>
            </w:pPr>
          </w:p>
        </w:tc>
        <w:tc>
          <w:tcPr>
            <w:tcW w:w="1360" w:type="dxa"/>
            <w:tcBorders>
              <w:top w:val="nil"/>
              <w:left w:val="nil"/>
              <w:bottom w:val="nil"/>
              <w:right w:val="nil"/>
            </w:tcBorders>
            <w:shd w:val="clear" w:color="auto" w:fill="auto"/>
            <w:noWrap/>
            <w:vAlign w:val="center"/>
          </w:tcPr>
          <w:p w14:paraId="362C7A00">
            <w:pPr>
              <w:widowControl/>
              <w:jc w:val="left"/>
              <w:rPr>
                <w:rFonts w:ascii="宋体" w:hAnsi="宋体"/>
                <w:kern w:val="0"/>
                <w:sz w:val="28"/>
                <w:szCs w:val="28"/>
              </w:rPr>
            </w:pPr>
            <w:r>
              <w:rPr>
                <w:rFonts w:hint="eastAsia" w:ascii="宋体" w:hAnsi="宋体"/>
                <w:kern w:val="0"/>
                <w:sz w:val="28"/>
                <w:szCs w:val="28"/>
              </w:rPr>
              <w:t>报价清单</w:t>
            </w:r>
          </w:p>
        </w:tc>
        <w:tc>
          <w:tcPr>
            <w:tcW w:w="1080" w:type="dxa"/>
            <w:tcBorders>
              <w:top w:val="nil"/>
              <w:left w:val="nil"/>
              <w:bottom w:val="nil"/>
              <w:right w:val="nil"/>
            </w:tcBorders>
            <w:shd w:val="clear" w:color="auto" w:fill="auto"/>
            <w:noWrap/>
            <w:vAlign w:val="center"/>
          </w:tcPr>
          <w:p w14:paraId="780DA226">
            <w:pPr>
              <w:widowControl/>
              <w:jc w:val="left"/>
              <w:rPr>
                <w:rFonts w:ascii="宋体" w:hAnsi="宋体"/>
                <w:kern w:val="0"/>
                <w:sz w:val="28"/>
                <w:szCs w:val="28"/>
              </w:rPr>
            </w:pPr>
          </w:p>
        </w:tc>
        <w:tc>
          <w:tcPr>
            <w:tcW w:w="3136" w:type="dxa"/>
            <w:tcBorders>
              <w:top w:val="nil"/>
              <w:left w:val="nil"/>
              <w:bottom w:val="nil"/>
              <w:right w:val="nil"/>
            </w:tcBorders>
            <w:shd w:val="clear" w:color="auto" w:fill="auto"/>
            <w:noWrap/>
            <w:vAlign w:val="center"/>
          </w:tcPr>
          <w:p w14:paraId="1DB9A0E1">
            <w:pPr>
              <w:widowControl/>
              <w:jc w:val="left"/>
              <w:rPr>
                <w:rFonts w:ascii="宋体" w:hAnsi="宋体"/>
                <w:kern w:val="0"/>
                <w:sz w:val="28"/>
                <w:szCs w:val="28"/>
              </w:rPr>
            </w:pPr>
          </w:p>
        </w:tc>
      </w:tr>
      <w:tr w14:paraId="45C7AD41">
        <w:tblPrEx>
          <w:tblCellMar>
            <w:top w:w="0" w:type="dxa"/>
            <w:left w:w="108" w:type="dxa"/>
            <w:bottom w:w="0" w:type="dxa"/>
            <w:right w:w="108" w:type="dxa"/>
          </w:tblCellMar>
        </w:tblPrEx>
        <w:trPr>
          <w:trHeight w:val="495" w:hRule="atLeast"/>
        </w:trPr>
        <w:tc>
          <w:tcPr>
            <w:tcW w:w="1640" w:type="dxa"/>
            <w:tcBorders>
              <w:top w:val="single" w:color="auto" w:sz="4" w:space="0"/>
              <w:left w:val="single" w:color="auto" w:sz="4" w:space="0"/>
              <w:bottom w:val="single" w:color="auto" w:sz="4" w:space="0"/>
              <w:right w:val="single" w:color="auto" w:sz="4" w:space="0"/>
            </w:tcBorders>
            <w:shd w:val="clear" w:color="auto" w:fill="auto"/>
            <w:vAlign w:val="center"/>
          </w:tcPr>
          <w:p w14:paraId="4B3F9880">
            <w:pPr>
              <w:widowControl/>
              <w:jc w:val="center"/>
              <w:rPr>
                <w:rFonts w:ascii="宋体" w:hAnsi="宋体"/>
                <w:b/>
                <w:bCs/>
                <w:kern w:val="0"/>
                <w:sz w:val="20"/>
                <w:szCs w:val="20"/>
              </w:rPr>
            </w:pPr>
            <w:r>
              <w:rPr>
                <w:rFonts w:hint="eastAsia" w:ascii="宋体" w:hAnsi="宋体"/>
                <w:b/>
                <w:bCs/>
                <w:kern w:val="0"/>
                <w:sz w:val="20"/>
                <w:szCs w:val="20"/>
              </w:rPr>
              <w:t>序号</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706340E9">
            <w:pPr>
              <w:widowControl/>
              <w:jc w:val="center"/>
              <w:rPr>
                <w:rFonts w:ascii="宋体" w:hAnsi="宋体"/>
                <w:b/>
                <w:bCs/>
                <w:kern w:val="0"/>
                <w:sz w:val="20"/>
                <w:szCs w:val="20"/>
              </w:rPr>
            </w:pPr>
            <w:r>
              <w:rPr>
                <w:rFonts w:hint="eastAsia" w:ascii="宋体" w:hAnsi="宋体"/>
                <w:b/>
                <w:bCs/>
                <w:kern w:val="0"/>
                <w:sz w:val="20"/>
                <w:szCs w:val="20"/>
              </w:rPr>
              <w:t>项目名称</w:t>
            </w:r>
          </w:p>
        </w:tc>
        <w:tc>
          <w:tcPr>
            <w:tcW w:w="3136" w:type="dxa"/>
            <w:tcBorders>
              <w:top w:val="single" w:color="auto" w:sz="4" w:space="0"/>
              <w:left w:val="nil"/>
              <w:bottom w:val="single" w:color="auto" w:sz="4" w:space="0"/>
              <w:right w:val="single" w:color="auto" w:sz="4" w:space="0"/>
            </w:tcBorders>
            <w:shd w:val="clear" w:color="auto" w:fill="auto"/>
            <w:vAlign w:val="center"/>
          </w:tcPr>
          <w:p w14:paraId="585C950A">
            <w:pPr>
              <w:widowControl/>
              <w:jc w:val="center"/>
              <w:rPr>
                <w:rFonts w:ascii="仿宋_GB2312" w:hAnsi="宋体" w:eastAsia="仿宋_GB2312"/>
                <w:kern w:val="0"/>
                <w:sz w:val="20"/>
                <w:szCs w:val="20"/>
              </w:rPr>
            </w:pPr>
            <w:r>
              <w:rPr>
                <w:rFonts w:hint="eastAsia" w:ascii="仿宋_GB2312" w:hAnsi="宋体" w:eastAsia="仿宋_GB2312"/>
                <w:kern w:val="0"/>
                <w:sz w:val="20"/>
                <w:szCs w:val="20"/>
              </w:rPr>
              <w:t>报价</w:t>
            </w:r>
          </w:p>
        </w:tc>
      </w:tr>
      <w:tr w14:paraId="16F78D8F">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03561816">
            <w:pPr>
              <w:widowControl/>
              <w:jc w:val="center"/>
              <w:rPr>
                <w:rFonts w:ascii="宋体" w:hAnsi="宋体"/>
                <w:kern w:val="0"/>
                <w:sz w:val="20"/>
                <w:szCs w:val="20"/>
              </w:rPr>
            </w:pPr>
            <w:r>
              <w:rPr>
                <w:rFonts w:hint="eastAsia" w:ascii="宋体" w:hAnsi="宋体"/>
                <w:kern w:val="0"/>
                <w:sz w:val="20"/>
                <w:szCs w:val="20"/>
              </w:rPr>
              <w:t>1</w:t>
            </w:r>
          </w:p>
        </w:tc>
        <w:tc>
          <w:tcPr>
            <w:tcW w:w="3320" w:type="dxa"/>
            <w:gridSpan w:val="3"/>
            <w:tcBorders>
              <w:top w:val="single" w:color="auto" w:sz="4" w:space="0"/>
              <w:left w:val="nil"/>
              <w:bottom w:val="single" w:color="auto" w:sz="4" w:space="0"/>
              <w:right w:val="single" w:color="000000" w:sz="4" w:space="0"/>
            </w:tcBorders>
            <w:shd w:val="clear" w:color="auto" w:fill="auto"/>
            <w:vAlign w:val="center"/>
          </w:tcPr>
          <w:p w14:paraId="3064BD6D">
            <w:pPr>
              <w:widowControl/>
              <w:jc w:val="center"/>
              <w:rPr>
                <w:rFonts w:ascii="宋体" w:hAnsi="宋体"/>
                <w:kern w:val="0"/>
                <w:sz w:val="20"/>
                <w:szCs w:val="20"/>
              </w:rPr>
            </w:pPr>
            <w:r>
              <w:rPr>
                <w:rFonts w:hint="eastAsia" w:ascii="宋体" w:hAnsi="宋体"/>
                <w:kern w:val="0"/>
                <w:sz w:val="20"/>
                <w:szCs w:val="20"/>
              </w:rPr>
              <w:t>G321线K743+000-K744+000路面修复养护</w:t>
            </w:r>
          </w:p>
        </w:tc>
        <w:tc>
          <w:tcPr>
            <w:tcW w:w="3136" w:type="dxa"/>
            <w:tcBorders>
              <w:top w:val="nil"/>
              <w:left w:val="nil"/>
              <w:bottom w:val="single" w:color="auto" w:sz="4" w:space="0"/>
              <w:right w:val="single" w:color="auto" w:sz="4" w:space="0"/>
            </w:tcBorders>
            <w:shd w:val="clear" w:color="auto" w:fill="auto"/>
            <w:noWrap/>
            <w:vAlign w:val="center"/>
          </w:tcPr>
          <w:p w14:paraId="16CE2583">
            <w:pPr>
              <w:widowControl/>
              <w:jc w:val="left"/>
              <w:rPr>
                <w:rFonts w:ascii="宋体" w:hAnsi="宋体"/>
                <w:kern w:val="0"/>
                <w:sz w:val="28"/>
                <w:szCs w:val="28"/>
              </w:rPr>
            </w:pPr>
            <w:r>
              <w:rPr>
                <w:rFonts w:hint="eastAsia" w:ascii="宋体" w:hAnsi="宋体"/>
                <w:kern w:val="0"/>
                <w:sz w:val="28"/>
                <w:szCs w:val="28"/>
              </w:rPr>
              <w:t>　</w:t>
            </w:r>
          </w:p>
        </w:tc>
      </w:tr>
      <w:tr w14:paraId="30B6B0A3">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1ECCC9CE">
            <w:pPr>
              <w:widowControl/>
              <w:jc w:val="center"/>
              <w:rPr>
                <w:rFonts w:ascii="宋体" w:hAnsi="宋体"/>
                <w:kern w:val="0"/>
                <w:sz w:val="20"/>
                <w:szCs w:val="20"/>
              </w:rPr>
            </w:pPr>
            <w:r>
              <w:rPr>
                <w:rFonts w:hint="eastAsia" w:ascii="宋体" w:hAnsi="宋体"/>
                <w:kern w:val="0"/>
                <w:sz w:val="20"/>
                <w:szCs w:val="20"/>
              </w:rPr>
              <w:t>2</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227C6EE5">
            <w:pPr>
              <w:widowControl/>
              <w:jc w:val="center"/>
              <w:rPr>
                <w:rFonts w:ascii="宋体" w:hAnsi="宋体"/>
                <w:kern w:val="0"/>
                <w:sz w:val="20"/>
                <w:szCs w:val="20"/>
              </w:rPr>
            </w:pPr>
            <w:r>
              <w:rPr>
                <w:rFonts w:hint="eastAsia" w:ascii="宋体" w:hAnsi="宋体"/>
                <w:kern w:val="0"/>
                <w:sz w:val="20"/>
                <w:szCs w:val="20"/>
              </w:rPr>
              <w:t>G321线K756+457-K759+000路面修复养护</w:t>
            </w:r>
          </w:p>
        </w:tc>
        <w:tc>
          <w:tcPr>
            <w:tcW w:w="3136" w:type="dxa"/>
            <w:tcBorders>
              <w:top w:val="nil"/>
              <w:left w:val="nil"/>
              <w:bottom w:val="single" w:color="auto" w:sz="4" w:space="0"/>
              <w:right w:val="single" w:color="auto" w:sz="4" w:space="0"/>
            </w:tcBorders>
            <w:shd w:val="clear" w:color="auto" w:fill="auto"/>
            <w:noWrap/>
            <w:vAlign w:val="center"/>
          </w:tcPr>
          <w:p w14:paraId="1C029B55">
            <w:pPr>
              <w:widowControl/>
              <w:jc w:val="left"/>
              <w:rPr>
                <w:rFonts w:ascii="宋体" w:hAnsi="宋体"/>
                <w:kern w:val="0"/>
                <w:sz w:val="28"/>
                <w:szCs w:val="28"/>
              </w:rPr>
            </w:pPr>
            <w:r>
              <w:rPr>
                <w:rFonts w:hint="eastAsia" w:ascii="宋体" w:hAnsi="宋体"/>
                <w:kern w:val="0"/>
                <w:sz w:val="28"/>
                <w:szCs w:val="28"/>
              </w:rPr>
              <w:t>　</w:t>
            </w:r>
          </w:p>
        </w:tc>
      </w:tr>
      <w:tr w14:paraId="65151441">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7D32D15D">
            <w:pPr>
              <w:widowControl/>
              <w:jc w:val="center"/>
              <w:rPr>
                <w:rFonts w:ascii="宋体" w:hAnsi="宋体"/>
                <w:kern w:val="0"/>
                <w:sz w:val="20"/>
                <w:szCs w:val="20"/>
              </w:rPr>
            </w:pPr>
            <w:r>
              <w:rPr>
                <w:rFonts w:hint="eastAsia" w:ascii="宋体" w:hAnsi="宋体"/>
                <w:kern w:val="0"/>
                <w:sz w:val="20"/>
                <w:szCs w:val="20"/>
              </w:rPr>
              <w:t>3</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6C448670">
            <w:pPr>
              <w:widowControl/>
              <w:jc w:val="center"/>
              <w:rPr>
                <w:rFonts w:ascii="宋体" w:hAnsi="宋体"/>
                <w:kern w:val="0"/>
                <w:sz w:val="20"/>
                <w:szCs w:val="20"/>
              </w:rPr>
            </w:pPr>
            <w:r>
              <w:rPr>
                <w:rFonts w:hint="eastAsia" w:ascii="宋体" w:hAnsi="宋体"/>
                <w:kern w:val="0"/>
                <w:sz w:val="20"/>
                <w:szCs w:val="20"/>
              </w:rPr>
              <w:t>G321线K763+000-K764+000路面修复养护</w:t>
            </w:r>
          </w:p>
        </w:tc>
        <w:tc>
          <w:tcPr>
            <w:tcW w:w="3136" w:type="dxa"/>
            <w:tcBorders>
              <w:top w:val="nil"/>
              <w:left w:val="nil"/>
              <w:bottom w:val="single" w:color="auto" w:sz="4" w:space="0"/>
              <w:right w:val="single" w:color="auto" w:sz="4" w:space="0"/>
            </w:tcBorders>
            <w:shd w:val="clear" w:color="auto" w:fill="auto"/>
            <w:noWrap/>
            <w:vAlign w:val="center"/>
          </w:tcPr>
          <w:p w14:paraId="7C3786B1">
            <w:pPr>
              <w:widowControl/>
              <w:jc w:val="left"/>
              <w:rPr>
                <w:rFonts w:ascii="宋体" w:hAnsi="宋体"/>
                <w:kern w:val="0"/>
                <w:sz w:val="28"/>
                <w:szCs w:val="28"/>
              </w:rPr>
            </w:pPr>
            <w:r>
              <w:rPr>
                <w:rFonts w:hint="eastAsia" w:ascii="宋体" w:hAnsi="宋体"/>
                <w:kern w:val="0"/>
                <w:sz w:val="28"/>
                <w:szCs w:val="28"/>
              </w:rPr>
              <w:t>　</w:t>
            </w:r>
          </w:p>
        </w:tc>
      </w:tr>
      <w:tr w14:paraId="010185F9">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27BE5B2F">
            <w:pPr>
              <w:widowControl/>
              <w:jc w:val="center"/>
              <w:rPr>
                <w:rFonts w:ascii="宋体" w:hAnsi="宋体"/>
                <w:kern w:val="0"/>
                <w:sz w:val="20"/>
                <w:szCs w:val="20"/>
              </w:rPr>
            </w:pPr>
            <w:r>
              <w:rPr>
                <w:rFonts w:hint="eastAsia" w:ascii="宋体" w:hAnsi="宋体"/>
                <w:kern w:val="0"/>
                <w:sz w:val="20"/>
                <w:szCs w:val="20"/>
              </w:rPr>
              <w:t>4</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1F0CB2B9">
            <w:pPr>
              <w:widowControl/>
              <w:jc w:val="center"/>
              <w:rPr>
                <w:rFonts w:ascii="宋体" w:hAnsi="宋体"/>
                <w:kern w:val="0"/>
                <w:sz w:val="20"/>
                <w:szCs w:val="20"/>
              </w:rPr>
            </w:pPr>
            <w:r>
              <w:rPr>
                <w:rFonts w:hint="eastAsia" w:ascii="宋体" w:hAnsi="宋体"/>
                <w:kern w:val="0"/>
                <w:sz w:val="20"/>
                <w:szCs w:val="20"/>
              </w:rPr>
              <w:t>G322线K1976+000-K1978+000路面修复养护</w:t>
            </w:r>
          </w:p>
        </w:tc>
        <w:tc>
          <w:tcPr>
            <w:tcW w:w="3136" w:type="dxa"/>
            <w:tcBorders>
              <w:top w:val="nil"/>
              <w:left w:val="nil"/>
              <w:bottom w:val="single" w:color="auto" w:sz="4" w:space="0"/>
              <w:right w:val="single" w:color="auto" w:sz="4" w:space="0"/>
            </w:tcBorders>
            <w:shd w:val="clear" w:color="auto" w:fill="auto"/>
            <w:noWrap/>
            <w:vAlign w:val="center"/>
          </w:tcPr>
          <w:p w14:paraId="217C3858">
            <w:pPr>
              <w:widowControl/>
              <w:jc w:val="left"/>
              <w:rPr>
                <w:rFonts w:ascii="宋体" w:hAnsi="宋体"/>
                <w:kern w:val="0"/>
                <w:sz w:val="28"/>
                <w:szCs w:val="28"/>
              </w:rPr>
            </w:pPr>
            <w:r>
              <w:rPr>
                <w:rFonts w:hint="eastAsia" w:ascii="宋体" w:hAnsi="宋体"/>
                <w:kern w:val="0"/>
                <w:sz w:val="28"/>
                <w:szCs w:val="28"/>
              </w:rPr>
              <w:t>　</w:t>
            </w:r>
          </w:p>
        </w:tc>
      </w:tr>
      <w:tr w14:paraId="49B8450D">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2AA19ED0">
            <w:pPr>
              <w:widowControl/>
              <w:jc w:val="center"/>
              <w:rPr>
                <w:rFonts w:ascii="宋体" w:hAnsi="宋体"/>
                <w:kern w:val="0"/>
                <w:sz w:val="20"/>
                <w:szCs w:val="20"/>
              </w:rPr>
            </w:pPr>
            <w:r>
              <w:rPr>
                <w:rFonts w:hint="eastAsia" w:ascii="宋体" w:hAnsi="宋体"/>
                <w:kern w:val="0"/>
                <w:sz w:val="20"/>
                <w:szCs w:val="20"/>
              </w:rPr>
              <w:t>5</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2851F90E">
            <w:pPr>
              <w:widowControl/>
              <w:jc w:val="center"/>
              <w:rPr>
                <w:rFonts w:ascii="宋体" w:hAnsi="宋体"/>
                <w:kern w:val="0"/>
                <w:sz w:val="20"/>
                <w:szCs w:val="20"/>
              </w:rPr>
            </w:pPr>
            <w:r>
              <w:rPr>
                <w:rFonts w:hint="eastAsia" w:ascii="宋体" w:hAnsi="宋体"/>
                <w:kern w:val="0"/>
                <w:sz w:val="20"/>
                <w:szCs w:val="20"/>
              </w:rPr>
              <w:t>G322线K1982+000-K1983+000路面修复养护</w:t>
            </w:r>
          </w:p>
        </w:tc>
        <w:tc>
          <w:tcPr>
            <w:tcW w:w="3136" w:type="dxa"/>
            <w:tcBorders>
              <w:top w:val="nil"/>
              <w:left w:val="nil"/>
              <w:bottom w:val="single" w:color="auto" w:sz="4" w:space="0"/>
              <w:right w:val="single" w:color="auto" w:sz="4" w:space="0"/>
            </w:tcBorders>
            <w:shd w:val="clear" w:color="auto" w:fill="auto"/>
            <w:noWrap/>
            <w:vAlign w:val="center"/>
          </w:tcPr>
          <w:p w14:paraId="4D1843A2">
            <w:pPr>
              <w:widowControl/>
              <w:jc w:val="left"/>
              <w:rPr>
                <w:rFonts w:ascii="宋体" w:hAnsi="宋体"/>
                <w:kern w:val="0"/>
                <w:sz w:val="28"/>
                <w:szCs w:val="28"/>
              </w:rPr>
            </w:pPr>
            <w:r>
              <w:rPr>
                <w:rFonts w:hint="eastAsia" w:ascii="宋体" w:hAnsi="宋体"/>
                <w:kern w:val="0"/>
                <w:sz w:val="28"/>
                <w:szCs w:val="28"/>
              </w:rPr>
              <w:t>　</w:t>
            </w:r>
          </w:p>
        </w:tc>
      </w:tr>
      <w:tr w14:paraId="3673094A">
        <w:tblPrEx>
          <w:tblCellMar>
            <w:top w:w="0" w:type="dxa"/>
            <w:left w:w="108" w:type="dxa"/>
            <w:bottom w:w="0" w:type="dxa"/>
            <w:right w:w="108" w:type="dxa"/>
          </w:tblCellMar>
        </w:tblPrEx>
        <w:trPr>
          <w:trHeight w:val="765" w:hRule="atLeast"/>
        </w:trPr>
        <w:tc>
          <w:tcPr>
            <w:tcW w:w="49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A812939">
            <w:pPr>
              <w:widowControl/>
              <w:jc w:val="center"/>
              <w:rPr>
                <w:rFonts w:ascii="宋体" w:hAnsi="宋体"/>
                <w:kern w:val="0"/>
                <w:sz w:val="20"/>
                <w:szCs w:val="20"/>
              </w:rPr>
            </w:pPr>
            <w:r>
              <w:rPr>
                <w:rFonts w:hint="eastAsia" w:ascii="宋体" w:hAnsi="宋体"/>
                <w:kern w:val="0"/>
                <w:sz w:val="20"/>
                <w:szCs w:val="20"/>
              </w:rPr>
              <w:t>NO.A小计</w:t>
            </w:r>
          </w:p>
        </w:tc>
        <w:tc>
          <w:tcPr>
            <w:tcW w:w="3136" w:type="dxa"/>
            <w:tcBorders>
              <w:top w:val="nil"/>
              <w:left w:val="nil"/>
              <w:bottom w:val="single" w:color="auto" w:sz="4" w:space="0"/>
              <w:right w:val="single" w:color="auto" w:sz="4" w:space="0"/>
            </w:tcBorders>
            <w:shd w:val="clear" w:color="auto" w:fill="auto"/>
            <w:noWrap/>
            <w:vAlign w:val="center"/>
          </w:tcPr>
          <w:p w14:paraId="333F4831">
            <w:pPr>
              <w:widowControl/>
              <w:jc w:val="left"/>
              <w:rPr>
                <w:rFonts w:ascii="宋体" w:hAnsi="宋体"/>
                <w:kern w:val="0"/>
                <w:sz w:val="28"/>
                <w:szCs w:val="28"/>
              </w:rPr>
            </w:pPr>
            <w:r>
              <w:rPr>
                <w:rFonts w:hint="eastAsia" w:ascii="宋体" w:hAnsi="宋体"/>
                <w:kern w:val="0"/>
                <w:sz w:val="28"/>
                <w:szCs w:val="28"/>
              </w:rPr>
              <w:t>　</w:t>
            </w:r>
          </w:p>
        </w:tc>
      </w:tr>
      <w:tr w14:paraId="483C4821">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76B0E334">
            <w:pPr>
              <w:widowControl/>
              <w:jc w:val="center"/>
              <w:rPr>
                <w:rFonts w:ascii="宋体" w:hAnsi="宋体"/>
                <w:kern w:val="0"/>
                <w:sz w:val="20"/>
                <w:szCs w:val="20"/>
              </w:rPr>
            </w:pPr>
            <w:r>
              <w:rPr>
                <w:rFonts w:hint="eastAsia" w:ascii="宋体" w:hAnsi="宋体"/>
                <w:kern w:val="0"/>
                <w:sz w:val="20"/>
                <w:szCs w:val="20"/>
              </w:rPr>
              <w:t>6</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5F0EA9DA">
            <w:pPr>
              <w:widowControl/>
              <w:jc w:val="center"/>
              <w:rPr>
                <w:rFonts w:ascii="宋体" w:hAnsi="宋体"/>
                <w:kern w:val="0"/>
                <w:sz w:val="20"/>
                <w:szCs w:val="20"/>
              </w:rPr>
            </w:pPr>
            <w:r>
              <w:rPr>
                <w:rFonts w:hint="eastAsia" w:ascii="宋体" w:hAnsi="宋体"/>
                <w:kern w:val="0"/>
                <w:sz w:val="20"/>
                <w:szCs w:val="20"/>
              </w:rPr>
              <w:t>G355线K1821.120-K1822.330路面修复养护工程</w:t>
            </w:r>
          </w:p>
        </w:tc>
        <w:tc>
          <w:tcPr>
            <w:tcW w:w="3136" w:type="dxa"/>
            <w:tcBorders>
              <w:top w:val="nil"/>
              <w:left w:val="nil"/>
              <w:bottom w:val="single" w:color="auto" w:sz="4" w:space="0"/>
              <w:right w:val="single" w:color="auto" w:sz="4" w:space="0"/>
            </w:tcBorders>
            <w:shd w:val="clear" w:color="auto" w:fill="auto"/>
            <w:noWrap/>
            <w:vAlign w:val="center"/>
          </w:tcPr>
          <w:p w14:paraId="664E883F">
            <w:pPr>
              <w:widowControl/>
              <w:jc w:val="left"/>
              <w:rPr>
                <w:rFonts w:ascii="宋体" w:hAnsi="宋体"/>
                <w:kern w:val="0"/>
                <w:sz w:val="28"/>
                <w:szCs w:val="28"/>
              </w:rPr>
            </w:pPr>
            <w:r>
              <w:rPr>
                <w:rFonts w:hint="eastAsia" w:ascii="宋体" w:hAnsi="宋体"/>
                <w:kern w:val="0"/>
                <w:sz w:val="28"/>
                <w:szCs w:val="28"/>
              </w:rPr>
              <w:t>　</w:t>
            </w:r>
          </w:p>
        </w:tc>
      </w:tr>
      <w:tr w14:paraId="4656DD9A">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6D55A8E6">
            <w:pPr>
              <w:widowControl/>
              <w:jc w:val="center"/>
              <w:rPr>
                <w:rFonts w:ascii="宋体" w:hAnsi="宋体"/>
                <w:kern w:val="0"/>
                <w:sz w:val="20"/>
                <w:szCs w:val="20"/>
              </w:rPr>
            </w:pPr>
            <w:r>
              <w:rPr>
                <w:rFonts w:hint="eastAsia" w:ascii="宋体" w:hAnsi="宋体"/>
                <w:kern w:val="0"/>
                <w:sz w:val="20"/>
                <w:szCs w:val="20"/>
              </w:rPr>
              <w:t>7</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4FB07E59">
            <w:pPr>
              <w:widowControl/>
              <w:jc w:val="center"/>
              <w:rPr>
                <w:rFonts w:ascii="宋体" w:hAnsi="宋体"/>
                <w:kern w:val="0"/>
                <w:sz w:val="20"/>
                <w:szCs w:val="20"/>
              </w:rPr>
            </w:pPr>
            <w:r>
              <w:rPr>
                <w:rFonts w:hint="eastAsia" w:ascii="宋体" w:hAnsi="宋体"/>
                <w:kern w:val="0"/>
                <w:sz w:val="20"/>
                <w:szCs w:val="20"/>
              </w:rPr>
              <w:t>G355线K1825.330-K1826.330路面修复养护工程</w:t>
            </w:r>
          </w:p>
        </w:tc>
        <w:tc>
          <w:tcPr>
            <w:tcW w:w="3136" w:type="dxa"/>
            <w:tcBorders>
              <w:top w:val="nil"/>
              <w:left w:val="nil"/>
              <w:bottom w:val="single" w:color="auto" w:sz="4" w:space="0"/>
              <w:right w:val="single" w:color="auto" w:sz="4" w:space="0"/>
            </w:tcBorders>
            <w:shd w:val="clear" w:color="auto" w:fill="auto"/>
            <w:noWrap/>
            <w:vAlign w:val="center"/>
          </w:tcPr>
          <w:p w14:paraId="41C3814B">
            <w:pPr>
              <w:widowControl/>
              <w:jc w:val="left"/>
              <w:rPr>
                <w:rFonts w:ascii="宋体" w:hAnsi="宋体"/>
                <w:kern w:val="0"/>
                <w:sz w:val="28"/>
                <w:szCs w:val="28"/>
              </w:rPr>
            </w:pPr>
            <w:r>
              <w:rPr>
                <w:rFonts w:hint="eastAsia" w:ascii="宋体" w:hAnsi="宋体"/>
                <w:kern w:val="0"/>
                <w:sz w:val="28"/>
                <w:szCs w:val="28"/>
              </w:rPr>
              <w:t>　</w:t>
            </w:r>
          </w:p>
        </w:tc>
      </w:tr>
      <w:tr w14:paraId="7EDBBA2A">
        <w:tblPrEx>
          <w:tblCellMar>
            <w:top w:w="0" w:type="dxa"/>
            <w:left w:w="108" w:type="dxa"/>
            <w:bottom w:w="0" w:type="dxa"/>
            <w:right w:w="108" w:type="dxa"/>
          </w:tblCellMar>
        </w:tblPrEx>
        <w:trPr>
          <w:trHeight w:val="765"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311FE74B">
            <w:pPr>
              <w:widowControl/>
              <w:jc w:val="center"/>
              <w:rPr>
                <w:rFonts w:ascii="宋体" w:hAnsi="宋体"/>
                <w:kern w:val="0"/>
                <w:sz w:val="20"/>
                <w:szCs w:val="20"/>
              </w:rPr>
            </w:pPr>
            <w:r>
              <w:rPr>
                <w:rFonts w:hint="eastAsia" w:ascii="宋体" w:hAnsi="宋体"/>
                <w:kern w:val="0"/>
                <w:sz w:val="20"/>
                <w:szCs w:val="20"/>
              </w:rPr>
              <w:t>8</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5E700602">
            <w:pPr>
              <w:widowControl/>
              <w:jc w:val="center"/>
              <w:rPr>
                <w:rFonts w:ascii="宋体" w:hAnsi="宋体"/>
                <w:kern w:val="0"/>
                <w:sz w:val="20"/>
                <w:szCs w:val="20"/>
              </w:rPr>
            </w:pPr>
            <w:r>
              <w:rPr>
                <w:rFonts w:hint="eastAsia" w:ascii="宋体" w:hAnsi="宋体"/>
                <w:kern w:val="0"/>
                <w:sz w:val="20"/>
                <w:szCs w:val="20"/>
              </w:rPr>
              <w:t>G355线K1819.360-K1833路面修复养护工程（选段)</w:t>
            </w:r>
          </w:p>
        </w:tc>
        <w:tc>
          <w:tcPr>
            <w:tcW w:w="3136" w:type="dxa"/>
            <w:tcBorders>
              <w:top w:val="nil"/>
              <w:left w:val="nil"/>
              <w:bottom w:val="single" w:color="auto" w:sz="4" w:space="0"/>
              <w:right w:val="single" w:color="auto" w:sz="4" w:space="0"/>
            </w:tcBorders>
            <w:shd w:val="clear" w:color="auto" w:fill="auto"/>
            <w:noWrap/>
            <w:vAlign w:val="center"/>
          </w:tcPr>
          <w:p w14:paraId="7293411E">
            <w:pPr>
              <w:widowControl/>
              <w:jc w:val="left"/>
              <w:rPr>
                <w:rFonts w:ascii="宋体" w:hAnsi="宋体"/>
                <w:kern w:val="0"/>
                <w:sz w:val="28"/>
                <w:szCs w:val="28"/>
              </w:rPr>
            </w:pPr>
            <w:r>
              <w:rPr>
                <w:rFonts w:hint="eastAsia" w:ascii="宋体" w:hAnsi="宋体"/>
                <w:kern w:val="0"/>
                <w:sz w:val="28"/>
                <w:szCs w:val="28"/>
              </w:rPr>
              <w:t>　</w:t>
            </w:r>
          </w:p>
        </w:tc>
      </w:tr>
      <w:tr w14:paraId="4F24A56F">
        <w:tblPrEx>
          <w:tblCellMar>
            <w:top w:w="0" w:type="dxa"/>
            <w:left w:w="108" w:type="dxa"/>
            <w:bottom w:w="0" w:type="dxa"/>
            <w:right w:w="108" w:type="dxa"/>
          </w:tblCellMar>
        </w:tblPrEx>
        <w:trPr>
          <w:trHeight w:val="688" w:hRule="atLeast"/>
        </w:trPr>
        <w:tc>
          <w:tcPr>
            <w:tcW w:w="1640" w:type="dxa"/>
            <w:tcBorders>
              <w:top w:val="nil"/>
              <w:left w:val="single" w:color="auto" w:sz="4" w:space="0"/>
              <w:bottom w:val="single" w:color="auto" w:sz="4" w:space="0"/>
              <w:right w:val="single" w:color="auto" w:sz="4" w:space="0"/>
            </w:tcBorders>
            <w:shd w:val="clear" w:color="auto" w:fill="auto"/>
            <w:vAlign w:val="center"/>
          </w:tcPr>
          <w:p w14:paraId="546F6EE5">
            <w:pPr>
              <w:widowControl/>
              <w:jc w:val="center"/>
              <w:rPr>
                <w:rFonts w:ascii="宋体" w:hAnsi="宋体"/>
                <w:kern w:val="0"/>
                <w:sz w:val="20"/>
                <w:szCs w:val="20"/>
              </w:rPr>
            </w:pPr>
            <w:r>
              <w:rPr>
                <w:rFonts w:hint="eastAsia" w:ascii="宋体" w:hAnsi="宋体"/>
                <w:kern w:val="0"/>
                <w:sz w:val="20"/>
                <w:szCs w:val="20"/>
              </w:rPr>
              <w:t>9</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3A6B651D">
            <w:pPr>
              <w:widowControl/>
              <w:jc w:val="center"/>
              <w:rPr>
                <w:rFonts w:ascii="宋体" w:hAnsi="宋体"/>
                <w:kern w:val="0"/>
                <w:sz w:val="20"/>
                <w:szCs w:val="20"/>
              </w:rPr>
            </w:pPr>
            <w:r>
              <w:rPr>
                <w:rFonts w:hint="eastAsia" w:ascii="宋体" w:hAnsi="宋体"/>
                <w:kern w:val="0"/>
                <w:sz w:val="20"/>
                <w:szCs w:val="20"/>
              </w:rPr>
              <w:t>S305忻城肯索至思练街头</w:t>
            </w:r>
          </w:p>
        </w:tc>
        <w:tc>
          <w:tcPr>
            <w:tcW w:w="3136" w:type="dxa"/>
            <w:tcBorders>
              <w:top w:val="nil"/>
              <w:left w:val="nil"/>
              <w:bottom w:val="single" w:color="auto" w:sz="4" w:space="0"/>
              <w:right w:val="single" w:color="auto" w:sz="4" w:space="0"/>
            </w:tcBorders>
            <w:shd w:val="clear" w:color="auto" w:fill="auto"/>
            <w:noWrap/>
            <w:vAlign w:val="center"/>
          </w:tcPr>
          <w:p w14:paraId="291F0092">
            <w:pPr>
              <w:widowControl/>
              <w:jc w:val="left"/>
              <w:rPr>
                <w:rFonts w:ascii="宋体" w:hAnsi="宋体"/>
                <w:kern w:val="0"/>
                <w:sz w:val="28"/>
                <w:szCs w:val="28"/>
              </w:rPr>
            </w:pPr>
            <w:r>
              <w:rPr>
                <w:rFonts w:hint="eastAsia" w:ascii="宋体" w:hAnsi="宋体"/>
                <w:kern w:val="0"/>
                <w:sz w:val="28"/>
                <w:szCs w:val="28"/>
              </w:rPr>
              <w:t>　</w:t>
            </w:r>
          </w:p>
        </w:tc>
      </w:tr>
      <w:tr w14:paraId="4DF3B009">
        <w:tblPrEx>
          <w:tblCellMar>
            <w:top w:w="0" w:type="dxa"/>
            <w:left w:w="108" w:type="dxa"/>
            <w:bottom w:w="0" w:type="dxa"/>
            <w:right w:w="108" w:type="dxa"/>
          </w:tblCellMar>
        </w:tblPrEx>
        <w:trPr>
          <w:trHeight w:val="495" w:hRule="atLeast"/>
        </w:trPr>
        <w:tc>
          <w:tcPr>
            <w:tcW w:w="49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05B83A6">
            <w:pPr>
              <w:widowControl/>
              <w:jc w:val="center"/>
              <w:rPr>
                <w:rFonts w:ascii="宋体" w:hAnsi="宋体"/>
                <w:kern w:val="0"/>
                <w:sz w:val="20"/>
                <w:szCs w:val="20"/>
              </w:rPr>
            </w:pPr>
            <w:r>
              <w:rPr>
                <w:rFonts w:hint="eastAsia" w:ascii="宋体" w:hAnsi="宋体"/>
                <w:kern w:val="0"/>
                <w:sz w:val="20"/>
                <w:szCs w:val="20"/>
              </w:rPr>
              <w:t>NO.B小计</w:t>
            </w:r>
          </w:p>
        </w:tc>
        <w:tc>
          <w:tcPr>
            <w:tcW w:w="3136" w:type="dxa"/>
            <w:tcBorders>
              <w:top w:val="nil"/>
              <w:left w:val="nil"/>
              <w:bottom w:val="single" w:color="auto" w:sz="4" w:space="0"/>
              <w:right w:val="single" w:color="auto" w:sz="4" w:space="0"/>
            </w:tcBorders>
            <w:shd w:val="clear" w:color="auto" w:fill="auto"/>
            <w:noWrap/>
            <w:vAlign w:val="center"/>
          </w:tcPr>
          <w:p w14:paraId="389FB8B0">
            <w:pPr>
              <w:widowControl/>
              <w:jc w:val="left"/>
              <w:rPr>
                <w:rFonts w:ascii="宋体" w:hAnsi="宋体"/>
                <w:kern w:val="0"/>
                <w:sz w:val="28"/>
                <w:szCs w:val="28"/>
              </w:rPr>
            </w:pPr>
            <w:r>
              <w:rPr>
                <w:rFonts w:hint="eastAsia" w:ascii="宋体" w:hAnsi="宋体"/>
                <w:kern w:val="0"/>
                <w:sz w:val="28"/>
                <w:szCs w:val="28"/>
              </w:rPr>
              <w:t>　</w:t>
            </w:r>
          </w:p>
        </w:tc>
      </w:tr>
      <w:tr w14:paraId="603965AB">
        <w:tblPrEx>
          <w:tblCellMar>
            <w:top w:w="0" w:type="dxa"/>
            <w:left w:w="108" w:type="dxa"/>
            <w:bottom w:w="0" w:type="dxa"/>
            <w:right w:w="108" w:type="dxa"/>
          </w:tblCellMar>
        </w:tblPrEx>
        <w:trPr>
          <w:trHeight w:val="495" w:hRule="atLeast"/>
        </w:trPr>
        <w:tc>
          <w:tcPr>
            <w:tcW w:w="4960"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5BD5428F">
            <w:pPr>
              <w:widowControl/>
              <w:jc w:val="center"/>
              <w:rPr>
                <w:rFonts w:ascii="仿宋_GB2312" w:hAnsi="宋体" w:eastAsia="仿宋_GB2312"/>
                <w:kern w:val="0"/>
                <w:sz w:val="20"/>
                <w:szCs w:val="20"/>
              </w:rPr>
            </w:pPr>
            <w:r>
              <w:rPr>
                <w:rFonts w:hint="eastAsia" w:ascii="仿宋_GB2312" w:hAnsi="宋体" w:eastAsia="仿宋_GB2312"/>
                <w:kern w:val="0"/>
                <w:sz w:val="20"/>
                <w:szCs w:val="20"/>
              </w:rPr>
              <w:t>合计</w:t>
            </w:r>
          </w:p>
        </w:tc>
        <w:tc>
          <w:tcPr>
            <w:tcW w:w="3136" w:type="dxa"/>
            <w:tcBorders>
              <w:top w:val="nil"/>
              <w:left w:val="nil"/>
              <w:bottom w:val="single" w:color="auto" w:sz="4" w:space="0"/>
              <w:right w:val="single" w:color="auto" w:sz="4" w:space="0"/>
            </w:tcBorders>
            <w:shd w:val="clear" w:color="auto" w:fill="auto"/>
            <w:noWrap/>
            <w:vAlign w:val="center"/>
          </w:tcPr>
          <w:p w14:paraId="261A2040">
            <w:pPr>
              <w:widowControl/>
              <w:jc w:val="left"/>
              <w:rPr>
                <w:rFonts w:ascii="宋体" w:hAnsi="宋体"/>
                <w:kern w:val="0"/>
                <w:sz w:val="28"/>
                <w:szCs w:val="28"/>
              </w:rPr>
            </w:pPr>
            <w:r>
              <w:rPr>
                <w:rFonts w:hint="eastAsia" w:ascii="宋体" w:hAnsi="宋体"/>
                <w:kern w:val="0"/>
                <w:sz w:val="28"/>
                <w:szCs w:val="28"/>
              </w:rPr>
              <w:t>　</w:t>
            </w:r>
          </w:p>
        </w:tc>
      </w:tr>
    </w:tbl>
    <w:p w14:paraId="0E02EC41">
      <w:pPr>
        <w:rPr>
          <w:rFonts w:ascii="仿宋" w:hAnsi="仿宋" w:eastAsia="仿宋"/>
          <w:sz w:val="24"/>
          <w:szCs w:val="24"/>
        </w:rPr>
      </w:pPr>
    </w:p>
    <w:p w14:paraId="0A53C25A">
      <w:pPr>
        <w:rPr>
          <w:rFonts w:ascii="仿宋" w:hAnsi="仿宋" w:eastAsia="仿宋"/>
          <w:sz w:val="24"/>
          <w:szCs w:val="24"/>
        </w:rPr>
      </w:pPr>
    </w:p>
    <w:p w14:paraId="41A6EF20">
      <w:pPr>
        <w:rPr>
          <w:rFonts w:ascii="仿宋" w:hAnsi="仿宋" w:eastAsia="仿宋"/>
          <w:sz w:val="24"/>
          <w:szCs w:val="24"/>
        </w:rPr>
      </w:pPr>
    </w:p>
    <w:p w14:paraId="03A8B624">
      <w:pPr>
        <w:rPr>
          <w:rFonts w:ascii="仿宋" w:hAnsi="仿宋" w:eastAsia="仿宋"/>
          <w:sz w:val="24"/>
          <w:szCs w:val="24"/>
        </w:rPr>
      </w:pPr>
    </w:p>
    <w:p w14:paraId="5D977152">
      <w:pPr>
        <w:rPr>
          <w:rFonts w:ascii="仿宋" w:hAnsi="仿宋" w:eastAsia="仿宋"/>
          <w:sz w:val="24"/>
          <w:szCs w:val="24"/>
        </w:rPr>
      </w:pPr>
    </w:p>
    <w:p w14:paraId="7C5A5A20">
      <w:pPr>
        <w:rPr>
          <w:rFonts w:ascii="仿宋" w:hAnsi="仿宋" w:eastAsia="仿宋"/>
          <w:sz w:val="24"/>
          <w:szCs w:val="24"/>
        </w:rPr>
      </w:pPr>
    </w:p>
    <w:p w14:paraId="0A637D55">
      <w:pPr>
        <w:rPr>
          <w:rFonts w:ascii="仿宋" w:hAnsi="仿宋" w:eastAsia="仿宋"/>
          <w:sz w:val="24"/>
          <w:szCs w:val="24"/>
        </w:rPr>
      </w:pPr>
    </w:p>
    <w:p w14:paraId="29A2B1FC">
      <w:pPr>
        <w:rPr>
          <w:rFonts w:ascii="仿宋" w:hAnsi="仿宋" w:eastAsia="仿宋"/>
          <w:sz w:val="24"/>
          <w:szCs w:val="24"/>
        </w:rPr>
      </w:pPr>
    </w:p>
    <w:p w14:paraId="2DF71019">
      <w:pPr>
        <w:rPr>
          <w:rFonts w:ascii="仿宋" w:hAnsi="仿宋" w:eastAsia="仿宋"/>
          <w:sz w:val="24"/>
          <w:szCs w:val="24"/>
        </w:rPr>
      </w:pPr>
    </w:p>
    <w:p w14:paraId="33095E69">
      <w:pPr>
        <w:rPr>
          <w:rFonts w:ascii="仿宋" w:hAnsi="仿宋" w:eastAsia="仿宋"/>
          <w:sz w:val="24"/>
          <w:szCs w:val="24"/>
        </w:rPr>
        <w:sectPr>
          <w:pgSz w:w="11906" w:h="16838"/>
          <w:pgMar w:top="1440" w:right="1080" w:bottom="1440" w:left="1080" w:header="851" w:footer="992" w:gutter="0"/>
          <w:cols w:space="425" w:num="1"/>
          <w:docGrid w:type="lines" w:linePitch="312" w:charSpace="0"/>
        </w:sectPr>
      </w:pPr>
    </w:p>
    <w:tbl>
      <w:tblPr>
        <w:tblStyle w:val="5"/>
        <w:tblW w:w="15694" w:type="dxa"/>
        <w:tblInd w:w="327" w:type="dxa"/>
        <w:tblLayout w:type="autofit"/>
        <w:tblCellMar>
          <w:top w:w="0" w:type="dxa"/>
          <w:left w:w="108" w:type="dxa"/>
          <w:bottom w:w="0" w:type="dxa"/>
          <w:right w:w="108" w:type="dxa"/>
        </w:tblCellMar>
      </w:tblPr>
      <w:tblGrid>
        <w:gridCol w:w="397"/>
        <w:gridCol w:w="3191"/>
        <w:gridCol w:w="848"/>
        <w:gridCol w:w="1100"/>
        <w:gridCol w:w="1100"/>
        <w:gridCol w:w="848"/>
        <w:gridCol w:w="848"/>
        <w:gridCol w:w="888"/>
        <w:gridCol w:w="848"/>
        <w:gridCol w:w="848"/>
        <w:gridCol w:w="1304"/>
        <w:gridCol w:w="1000"/>
        <w:gridCol w:w="892"/>
        <w:gridCol w:w="892"/>
        <w:gridCol w:w="851"/>
      </w:tblGrid>
      <w:tr w14:paraId="428E6FCA">
        <w:tblPrEx>
          <w:tblCellMar>
            <w:top w:w="0" w:type="dxa"/>
            <w:left w:w="108" w:type="dxa"/>
            <w:bottom w:w="0" w:type="dxa"/>
            <w:right w:w="108" w:type="dxa"/>
          </w:tblCellMar>
        </w:tblPrEx>
        <w:trPr>
          <w:trHeight w:val="351" w:hRule="atLeast"/>
        </w:trPr>
        <w:tc>
          <w:tcPr>
            <w:tcW w:w="236" w:type="dxa"/>
            <w:tcBorders>
              <w:top w:val="nil"/>
              <w:left w:val="nil"/>
              <w:bottom w:val="nil"/>
              <w:right w:val="nil"/>
            </w:tcBorders>
            <w:shd w:val="clear" w:color="auto" w:fill="auto"/>
            <w:noWrap/>
            <w:vAlign w:val="center"/>
          </w:tcPr>
          <w:p w14:paraId="779B4B98">
            <w:pPr>
              <w:widowControl/>
              <w:jc w:val="left"/>
              <w:rPr>
                <w:rFonts w:ascii="宋体" w:hAnsi="宋体"/>
                <w:kern w:val="0"/>
                <w:sz w:val="18"/>
                <w:szCs w:val="18"/>
              </w:rPr>
            </w:pPr>
            <w:r>
              <w:rPr>
                <w:rFonts w:hint="eastAsia" w:ascii="宋体" w:hAnsi="宋体"/>
                <w:kern w:val="0"/>
                <w:sz w:val="18"/>
                <w:szCs w:val="18"/>
              </w:rPr>
              <w:t>附表</w:t>
            </w:r>
          </w:p>
        </w:tc>
        <w:tc>
          <w:tcPr>
            <w:tcW w:w="3191" w:type="dxa"/>
            <w:tcBorders>
              <w:top w:val="nil"/>
              <w:left w:val="nil"/>
              <w:bottom w:val="nil"/>
              <w:right w:val="nil"/>
            </w:tcBorders>
            <w:shd w:val="clear" w:color="auto" w:fill="auto"/>
            <w:noWrap/>
            <w:vAlign w:val="center"/>
          </w:tcPr>
          <w:p w14:paraId="2B5293C6">
            <w:pPr>
              <w:widowControl/>
              <w:jc w:val="left"/>
              <w:rPr>
                <w:rFonts w:ascii="宋体" w:hAnsi="宋体"/>
                <w:kern w:val="0"/>
                <w:sz w:val="18"/>
                <w:szCs w:val="18"/>
              </w:rPr>
            </w:pPr>
          </w:p>
        </w:tc>
        <w:tc>
          <w:tcPr>
            <w:tcW w:w="848" w:type="dxa"/>
            <w:tcBorders>
              <w:top w:val="nil"/>
              <w:left w:val="nil"/>
              <w:bottom w:val="nil"/>
              <w:right w:val="nil"/>
            </w:tcBorders>
            <w:shd w:val="clear" w:color="auto" w:fill="auto"/>
            <w:noWrap/>
            <w:vAlign w:val="center"/>
          </w:tcPr>
          <w:p w14:paraId="61F1340A">
            <w:pPr>
              <w:widowControl/>
              <w:jc w:val="left"/>
              <w:rPr>
                <w:rFonts w:ascii="宋体" w:hAnsi="宋体"/>
                <w:kern w:val="0"/>
                <w:sz w:val="18"/>
                <w:szCs w:val="18"/>
              </w:rPr>
            </w:pPr>
          </w:p>
        </w:tc>
        <w:tc>
          <w:tcPr>
            <w:tcW w:w="1100" w:type="dxa"/>
            <w:tcBorders>
              <w:top w:val="nil"/>
              <w:left w:val="nil"/>
              <w:bottom w:val="nil"/>
              <w:right w:val="nil"/>
            </w:tcBorders>
            <w:shd w:val="clear" w:color="auto" w:fill="auto"/>
            <w:noWrap/>
            <w:vAlign w:val="center"/>
          </w:tcPr>
          <w:p w14:paraId="5E627804">
            <w:pPr>
              <w:widowControl/>
              <w:jc w:val="left"/>
              <w:rPr>
                <w:rFonts w:ascii="宋体" w:hAnsi="宋体"/>
                <w:kern w:val="0"/>
                <w:sz w:val="18"/>
                <w:szCs w:val="18"/>
              </w:rPr>
            </w:pPr>
          </w:p>
        </w:tc>
        <w:tc>
          <w:tcPr>
            <w:tcW w:w="1100" w:type="dxa"/>
            <w:tcBorders>
              <w:top w:val="nil"/>
              <w:left w:val="nil"/>
              <w:bottom w:val="nil"/>
              <w:right w:val="nil"/>
            </w:tcBorders>
            <w:shd w:val="clear" w:color="auto" w:fill="auto"/>
            <w:noWrap/>
            <w:vAlign w:val="center"/>
          </w:tcPr>
          <w:p w14:paraId="13CE956B">
            <w:pPr>
              <w:widowControl/>
              <w:jc w:val="left"/>
              <w:rPr>
                <w:rFonts w:ascii="宋体" w:hAnsi="宋体"/>
                <w:kern w:val="0"/>
                <w:sz w:val="18"/>
                <w:szCs w:val="18"/>
              </w:rPr>
            </w:pPr>
          </w:p>
        </w:tc>
        <w:tc>
          <w:tcPr>
            <w:tcW w:w="848" w:type="dxa"/>
            <w:tcBorders>
              <w:top w:val="nil"/>
              <w:left w:val="nil"/>
              <w:bottom w:val="nil"/>
              <w:right w:val="nil"/>
            </w:tcBorders>
            <w:shd w:val="clear" w:color="auto" w:fill="auto"/>
            <w:noWrap/>
            <w:vAlign w:val="center"/>
          </w:tcPr>
          <w:p w14:paraId="015BDEF6">
            <w:pPr>
              <w:widowControl/>
              <w:jc w:val="left"/>
              <w:rPr>
                <w:rFonts w:ascii="宋体" w:hAnsi="宋体"/>
                <w:kern w:val="0"/>
                <w:sz w:val="18"/>
                <w:szCs w:val="18"/>
              </w:rPr>
            </w:pPr>
          </w:p>
        </w:tc>
        <w:tc>
          <w:tcPr>
            <w:tcW w:w="848" w:type="dxa"/>
            <w:tcBorders>
              <w:top w:val="nil"/>
              <w:left w:val="nil"/>
              <w:bottom w:val="nil"/>
              <w:right w:val="nil"/>
            </w:tcBorders>
            <w:shd w:val="clear" w:color="auto" w:fill="auto"/>
            <w:noWrap/>
            <w:vAlign w:val="center"/>
          </w:tcPr>
          <w:p w14:paraId="6FB4B2AC">
            <w:pPr>
              <w:widowControl/>
              <w:jc w:val="left"/>
              <w:rPr>
                <w:rFonts w:ascii="宋体" w:hAnsi="宋体"/>
                <w:kern w:val="0"/>
                <w:sz w:val="18"/>
                <w:szCs w:val="18"/>
              </w:rPr>
            </w:pPr>
          </w:p>
        </w:tc>
        <w:tc>
          <w:tcPr>
            <w:tcW w:w="888" w:type="dxa"/>
            <w:tcBorders>
              <w:top w:val="nil"/>
              <w:left w:val="nil"/>
              <w:bottom w:val="nil"/>
              <w:right w:val="nil"/>
            </w:tcBorders>
            <w:shd w:val="clear" w:color="auto" w:fill="auto"/>
            <w:noWrap/>
            <w:vAlign w:val="center"/>
          </w:tcPr>
          <w:p w14:paraId="35DC049E">
            <w:pPr>
              <w:widowControl/>
              <w:jc w:val="left"/>
              <w:rPr>
                <w:rFonts w:ascii="宋体" w:hAnsi="宋体"/>
                <w:kern w:val="0"/>
                <w:sz w:val="18"/>
                <w:szCs w:val="18"/>
              </w:rPr>
            </w:pPr>
          </w:p>
        </w:tc>
        <w:tc>
          <w:tcPr>
            <w:tcW w:w="848" w:type="dxa"/>
            <w:tcBorders>
              <w:top w:val="nil"/>
              <w:left w:val="nil"/>
              <w:bottom w:val="nil"/>
              <w:right w:val="nil"/>
            </w:tcBorders>
            <w:shd w:val="clear" w:color="auto" w:fill="auto"/>
            <w:noWrap/>
            <w:vAlign w:val="center"/>
          </w:tcPr>
          <w:p w14:paraId="17897B10">
            <w:pPr>
              <w:widowControl/>
              <w:jc w:val="left"/>
              <w:rPr>
                <w:rFonts w:ascii="宋体" w:hAnsi="宋体"/>
                <w:kern w:val="0"/>
                <w:sz w:val="18"/>
                <w:szCs w:val="18"/>
              </w:rPr>
            </w:pPr>
          </w:p>
        </w:tc>
        <w:tc>
          <w:tcPr>
            <w:tcW w:w="848" w:type="dxa"/>
            <w:tcBorders>
              <w:top w:val="nil"/>
              <w:left w:val="nil"/>
              <w:bottom w:val="nil"/>
              <w:right w:val="nil"/>
            </w:tcBorders>
            <w:shd w:val="clear" w:color="auto" w:fill="auto"/>
            <w:noWrap/>
            <w:vAlign w:val="center"/>
          </w:tcPr>
          <w:p w14:paraId="33BCC00E">
            <w:pPr>
              <w:widowControl/>
              <w:jc w:val="left"/>
              <w:rPr>
                <w:rFonts w:ascii="宋体" w:hAnsi="宋体"/>
                <w:kern w:val="0"/>
                <w:sz w:val="18"/>
                <w:szCs w:val="18"/>
              </w:rPr>
            </w:pPr>
          </w:p>
        </w:tc>
        <w:tc>
          <w:tcPr>
            <w:tcW w:w="1304" w:type="dxa"/>
            <w:tcBorders>
              <w:top w:val="nil"/>
              <w:left w:val="nil"/>
              <w:bottom w:val="nil"/>
              <w:right w:val="nil"/>
            </w:tcBorders>
            <w:shd w:val="clear" w:color="auto" w:fill="auto"/>
            <w:noWrap/>
            <w:vAlign w:val="center"/>
          </w:tcPr>
          <w:p w14:paraId="0E716A6C">
            <w:pPr>
              <w:widowControl/>
              <w:jc w:val="left"/>
              <w:rPr>
                <w:rFonts w:ascii="宋体" w:hAnsi="宋体"/>
                <w:kern w:val="0"/>
                <w:sz w:val="18"/>
                <w:szCs w:val="18"/>
              </w:rPr>
            </w:pPr>
          </w:p>
        </w:tc>
        <w:tc>
          <w:tcPr>
            <w:tcW w:w="1000" w:type="dxa"/>
            <w:tcBorders>
              <w:top w:val="nil"/>
              <w:left w:val="nil"/>
              <w:bottom w:val="nil"/>
              <w:right w:val="nil"/>
            </w:tcBorders>
            <w:shd w:val="clear" w:color="auto" w:fill="auto"/>
            <w:noWrap/>
            <w:vAlign w:val="center"/>
          </w:tcPr>
          <w:p w14:paraId="7E20D408">
            <w:pPr>
              <w:widowControl/>
              <w:jc w:val="left"/>
              <w:rPr>
                <w:rFonts w:ascii="宋体" w:hAnsi="宋体"/>
                <w:kern w:val="0"/>
                <w:sz w:val="18"/>
                <w:szCs w:val="18"/>
              </w:rPr>
            </w:pPr>
          </w:p>
        </w:tc>
        <w:tc>
          <w:tcPr>
            <w:tcW w:w="892" w:type="dxa"/>
            <w:tcBorders>
              <w:top w:val="nil"/>
              <w:left w:val="nil"/>
              <w:bottom w:val="nil"/>
              <w:right w:val="nil"/>
            </w:tcBorders>
            <w:shd w:val="clear" w:color="auto" w:fill="auto"/>
            <w:noWrap/>
            <w:vAlign w:val="center"/>
          </w:tcPr>
          <w:p w14:paraId="499A86D8">
            <w:pPr>
              <w:widowControl/>
              <w:jc w:val="left"/>
              <w:rPr>
                <w:rFonts w:ascii="宋体" w:hAnsi="宋体"/>
                <w:kern w:val="0"/>
                <w:sz w:val="18"/>
                <w:szCs w:val="18"/>
              </w:rPr>
            </w:pPr>
          </w:p>
        </w:tc>
        <w:tc>
          <w:tcPr>
            <w:tcW w:w="892" w:type="dxa"/>
            <w:tcBorders>
              <w:top w:val="nil"/>
              <w:left w:val="nil"/>
              <w:bottom w:val="nil"/>
              <w:right w:val="nil"/>
            </w:tcBorders>
            <w:shd w:val="clear" w:color="auto" w:fill="auto"/>
            <w:noWrap/>
            <w:vAlign w:val="center"/>
          </w:tcPr>
          <w:p w14:paraId="657ED329">
            <w:pPr>
              <w:widowControl/>
              <w:jc w:val="left"/>
              <w:rPr>
                <w:rFonts w:ascii="宋体" w:hAnsi="宋体"/>
                <w:kern w:val="0"/>
                <w:sz w:val="18"/>
                <w:szCs w:val="18"/>
              </w:rPr>
            </w:pPr>
          </w:p>
        </w:tc>
        <w:tc>
          <w:tcPr>
            <w:tcW w:w="851" w:type="dxa"/>
            <w:tcBorders>
              <w:top w:val="nil"/>
              <w:left w:val="nil"/>
              <w:bottom w:val="nil"/>
              <w:right w:val="nil"/>
            </w:tcBorders>
            <w:shd w:val="clear" w:color="auto" w:fill="auto"/>
            <w:noWrap/>
            <w:vAlign w:val="center"/>
          </w:tcPr>
          <w:p w14:paraId="2D04941F">
            <w:pPr>
              <w:widowControl/>
              <w:jc w:val="left"/>
              <w:rPr>
                <w:rFonts w:ascii="宋体" w:hAnsi="宋体"/>
                <w:kern w:val="0"/>
                <w:sz w:val="18"/>
                <w:szCs w:val="18"/>
              </w:rPr>
            </w:pPr>
          </w:p>
        </w:tc>
      </w:tr>
      <w:tr w14:paraId="6B9FF926">
        <w:tblPrEx>
          <w:tblCellMar>
            <w:top w:w="0" w:type="dxa"/>
            <w:left w:w="108" w:type="dxa"/>
            <w:bottom w:w="0" w:type="dxa"/>
            <w:right w:w="108" w:type="dxa"/>
          </w:tblCellMar>
        </w:tblPrEx>
        <w:trPr>
          <w:trHeight w:val="351" w:hRule="atLeast"/>
        </w:trPr>
        <w:tc>
          <w:tcPr>
            <w:tcW w:w="15694" w:type="dxa"/>
            <w:gridSpan w:val="15"/>
            <w:tcBorders>
              <w:top w:val="nil"/>
              <w:left w:val="nil"/>
              <w:bottom w:val="nil"/>
              <w:right w:val="nil"/>
            </w:tcBorders>
            <w:shd w:val="clear" w:color="auto" w:fill="auto"/>
            <w:noWrap/>
            <w:vAlign w:val="center"/>
          </w:tcPr>
          <w:p w14:paraId="2D42B671">
            <w:pPr>
              <w:widowControl/>
              <w:jc w:val="center"/>
              <w:rPr>
                <w:rFonts w:ascii="方正小标宋简体" w:hAnsi="宋体" w:eastAsia="方正小标宋简体"/>
                <w:kern w:val="0"/>
                <w:sz w:val="22"/>
                <w:szCs w:val="22"/>
              </w:rPr>
            </w:pPr>
            <w:r>
              <w:rPr>
                <w:rFonts w:hint="eastAsia" w:ascii="方正小标宋简体" w:hAnsi="宋体" w:eastAsia="方正小标宋简体"/>
                <w:kern w:val="0"/>
                <w:sz w:val="22"/>
                <w:szCs w:val="22"/>
              </w:rPr>
              <w:t>2025年政府还贷二级公路取消收费后补助资金项目表（普通国省道公路路面养护工程）</w:t>
            </w:r>
          </w:p>
        </w:tc>
      </w:tr>
      <w:tr w14:paraId="6C58B8A4">
        <w:tblPrEx>
          <w:tblCellMar>
            <w:top w:w="0" w:type="dxa"/>
            <w:left w:w="108" w:type="dxa"/>
            <w:bottom w:w="0" w:type="dxa"/>
            <w:right w:w="108" w:type="dxa"/>
          </w:tblCellMar>
        </w:tblPrEx>
        <w:trPr>
          <w:trHeight w:val="351" w:hRule="atLeast"/>
        </w:trPr>
        <w:tc>
          <w:tcPr>
            <w:tcW w:w="23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FEBF32D">
            <w:pPr>
              <w:widowControl/>
              <w:jc w:val="center"/>
              <w:rPr>
                <w:rFonts w:ascii="宋体" w:hAnsi="宋体"/>
                <w:b/>
                <w:bCs/>
                <w:kern w:val="0"/>
                <w:sz w:val="18"/>
                <w:szCs w:val="18"/>
              </w:rPr>
            </w:pPr>
            <w:r>
              <w:rPr>
                <w:rFonts w:hint="eastAsia" w:ascii="宋体" w:hAnsi="宋体"/>
                <w:b/>
                <w:bCs/>
                <w:kern w:val="0"/>
                <w:sz w:val="18"/>
                <w:szCs w:val="18"/>
              </w:rPr>
              <w:t>序号</w:t>
            </w:r>
          </w:p>
        </w:tc>
        <w:tc>
          <w:tcPr>
            <w:tcW w:w="31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4D4197E">
            <w:pPr>
              <w:widowControl/>
              <w:jc w:val="center"/>
              <w:rPr>
                <w:rFonts w:ascii="宋体" w:hAnsi="宋体"/>
                <w:b/>
                <w:bCs/>
                <w:kern w:val="0"/>
                <w:sz w:val="18"/>
                <w:szCs w:val="18"/>
              </w:rPr>
            </w:pPr>
            <w:r>
              <w:rPr>
                <w:rFonts w:hint="eastAsia" w:ascii="宋体" w:hAnsi="宋体"/>
                <w:b/>
                <w:bCs/>
                <w:kern w:val="0"/>
                <w:sz w:val="18"/>
                <w:szCs w:val="18"/>
              </w:rPr>
              <w:t>项目名称</w:t>
            </w:r>
          </w:p>
        </w:tc>
        <w:tc>
          <w:tcPr>
            <w:tcW w:w="8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F782E9">
            <w:pPr>
              <w:widowControl/>
              <w:jc w:val="center"/>
              <w:rPr>
                <w:rFonts w:ascii="宋体" w:hAnsi="宋体"/>
                <w:b/>
                <w:bCs/>
                <w:kern w:val="0"/>
                <w:sz w:val="18"/>
                <w:szCs w:val="18"/>
              </w:rPr>
            </w:pPr>
            <w:r>
              <w:rPr>
                <w:rFonts w:hint="eastAsia" w:ascii="宋体" w:hAnsi="宋体"/>
                <w:b/>
                <w:bCs/>
                <w:kern w:val="0"/>
                <w:sz w:val="18"/>
                <w:szCs w:val="18"/>
              </w:rPr>
              <w:t>养护性质</w:t>
            </w:r>
          </w:p>
        </w:tc>
        <w:tc>
          <w:tcPr>
            <w:tcW w:w="11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8D4A9F7">
            <w:pPr>
              <w:widowControl/>
              <w:jc w:val="center"/>
              <w:rPr>
                <w:rFonts w:ascii="宋体" w:hAnsi="宋体"/>
                <w:b/>
                <w:bCs/>
                <w:kern w:val="0"/>
                <w:sz w:val="18"/>
                <w:szCs w:val="18"/>
              </w:rPr>
            </w:pPr>
            <w:r>
              <w:rPr>
                <w:rFonts w:hint="eastAsia" w:ascii="宋体" w:hAnsi="宋体"/>
                <w:b/>
                <w:bCs/>
                <w:kern w:val="0"/>
                <w:sz w:val="18"/>
                <w:szCs w:val="18"/>
              </w:rPr>
              <w:t>起点桩号</w:t>
            </w:r>
          </w:p>
        </w:tc>
        <w:tc>
          <w:tcPr>
            <w:tcW w:w="11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3D7419E">
            <w:pPr>
              <w:widowControl/>
              <w:jc w:val="center"/>
              <w:rPr>
                <w:rFonts w:ascii="宋体" w:hAnsi="宋体"/>
                <w:b/>
                <w:bCs/>
                <w:kern w:val="0"/>
                <w:sz w:val="18"/>
                <w:szCs w:val="18"/>
              </w:rPr>
            </w:pPr>
            <w:r>
              <w:rPr>
                <w:rFonts w:hint="eastAsia" w:ascii="宋体" w:hAnsi="宋体"/>
                <w:b/>
                <w:bCs/>
                <w:kern w:val="0"/>
                <w:sz w:val="18"/>
                <w:szCs w:val="18"/>
              </w:rPr>
              <w:t>终点桩号</w:t>
            </w:r>
          </w:p>
        </w:tc>
        <w:tc>
          <w:tcPr>
            <w:tcW w:w="8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DFC34F9">
            <w:pPr>
              <w:widowControl/>
              <w:jc w:val="center"/>
              <w:rPr>
                <w:rFonts w:ascii="宋体" w:hAnsi="宋体"/>
                <w:b/>
                <w:bCs/>
                <w:kern w:val="0"/>
                <w:sz w:val="18"/>
                <w:szCs w:val="18"/>
              </w:rPr>
            </w:pPr>
            <w:r>
              <w:rPr>
                <w:rFonts w:hint="eastAsia" w:ascii="宋体" w:hAnsi="宋体"/>
                <w:b/>
                <w:bCs/>
                <w:kern w:val="0"/>
                <w:sz w:val="18"/>
                <w:szCs w:val="18"/>
              </w:rPr>
              <w:t>公路技术等级</w:t>
            </w:r>
          </w:p>
        </w:tc>
        <w:tc>
          <w:tcPr>
            <w:tcW w:w="848" w:type="dxa"/>
            <w:tcBorders>
              <w:top w:val="single" w:color="auto" w:sz="4" w:space="0"/>
              <w:left w:val="nil"/>
              <w:bottom w:val="single" w:color="auto" w:sz="4" w:space="0"/>
              <w:right w:val="single" w:color="auto" w:sz="4" w:space="0"/>
            </w:tcBorders>
            <w:shd w:val="clear" w:color="auto" w:fill="auto"/>
            <w:vAlign w:val="center"/>
          </w:tcPr>
          <w:p w14:paraId="4FDA529E">
            <w:pPr>
              <w:widowControl/>
              <w:jc w:val="center"/>
              <w:rPr>
                <w:rFonts w:ascii="宋体" w:hAnsi="宋体"/>
                <w:b/>
                <w:bCs/>
                <w:kern w:val="0"/>
                <w:sz w:val="18"/>
                <w:szCs w:val="18"/>
              </w:rPr>
            </w:pPr>
            <w:r>
              <w:rPr>
                <w:rFonts w:hint="eastAsia" w:ascii="宋体" w:hAnsi="宋体"/>
                <w:b/>
                <w:bCs/>
                <w:kern w:val="0"/>
                <w:sz w:val="18"/>
                <w:szCs w:val="18"/>
              </w:rPr>
              <w:t>路面</w:t>
            </w:r>
          </w:p>
        </w:tc>
        <w:tc>
          <w:tcPr>
            <w:tcW w:w="888" w:type="dxa"/>
            <w:tcBorders>
              <w:top w:val="single" w:color="auto" w:sz="4" w:space="0"/>
              <w:left w:val="nil"/>
              <w:bottom w:val="single" w:color="auto" w:sz="4" w:space="0"/>
              <w:right w:val="single" w:color="auto" w:sz="4" w:space="0"/>
            </w:tcBorders>
            <w:shd w:val="clear" w:color="auto" w:fill="auto"/>
            <w:vAlign w:val="center"/>
          </w:tcPr>
          <w:p w14:paraId="35F23B86">
            <w:pPr>
              <w:widowControl/>
              <w:jc w:val="center"/>
              <w:rPr>
                <w:rFonts w:ascii="宋体" w:hAnsi="宋体"/>
                <w:b/>
                <w:bCs/>
                <w:kern w:val="0"/>
                <w:sz w:val="18"/>
                <w:szCs w:val="18"/>
              </w:rPr>
            </w:pPr>
            <w:r>
              <w:rPr>
                <w:rFonts w:hint="eastAsia" w:ascii="宋体" w:hAnsi="宋体"/>
                <w:b/>
                <w:bCs/>
                <w:kern w:val="0"/>
                <w:sz w:val="18"/>
                <w:szCs w:val="18"/>
              </w:rPr>
              <w:t>养 护 工 程 量里程</w:t>
            </w:r>
          </w:p>
        </w:tc>
        <w:tc>
          <w:tcPr>
            <w:tcW w:w="8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1C111C">
            <w:pPr>
              <w:widowControl/>
              <w:jc w:val="center"/>
              <w:rPr>
                <w:rFonts w:ascii="宋体" w:hAnsi="宋体"/>
                <w:b/>
                <w:bCs/>
                <w:kern w:val="0"/>
                <w:sz w:val="18"/>
                <w:szCs w:val="18"/>
              </w:rPr>
            </w:pPr>
            <w:r>
              <w:rPr>
                <w:rFonts w:hint="eastAsia" w:ascii="宋体" w:hAnsi="宋体"/>
                <w:b/>
                <w:bCs/>
                <w:kern w:val="0"/>
                <w:sz w:val="18"/>
                <w:szCs w:val="18"/>
              </w:rPr>
              <w:t>路面宽度(米)</w:t>
            </w:r>
          </w:p>
        </w:tc>
        <w:tc>
          <w:tcPr>
            <w:tcW w:w="848" w:type="dxa"/>
            <w:tcBorders>
              <w:top w:val="single" w:color="auto" w:sz="4" w:space="0"/>
              <w:left w:val="nil"/>
              <w:bottom w:val="single" w:color="auto" w:sz="4" w:space="0"/>
              <w:right w:val="single" w:color="auto" w:sz="4" w:space="0"/>
            </w:tcBorders>
            <w:shd w:val="clear" w:color="auto" w:fill="auto"/>
            <w:vAlign w:val="center"/>
          </w:tcPr>
          <w:p w14:paraId="3FF212CE">
            <w:pPr>
              <w:widowControl/>
              <w:jc w:val="center"/>
              <w:rPr>
                <w:rFonts w:ascii="宋体" w:hAnsi="宋体"/>
                <w:b/>
                <w:bCs/>
                <w:kern w:val="0"/>
                <w:sz w:val="18"/>
                <w:szCs w:val="18"/>
              </w:rPr>
            </w:pPr>
            <w:r>
              <w:rPr>
                <w:rFonts w:hint="eastAsia" w:ascii="宋体" w:hAnsi="宋体"/>
                <w:b/>
                <w:bCs/>
                <w:kern w:val="0"/>
                <w:sz w:val="18"/>
                <w:szCs w:val="18"/>
              </w:rPr>
              <w:t xml:space="preserve"> 建议计划</w:t>
            </w:r>
          </w:p>
        </w:tc>
        <w:tc>
          <w:tcPr>
            <w:tcW w:w="13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2B16D0">
            <w:pPr>
              <w:widowControl/>
              <w:jc w:val="left"/>
              <w:rPr>
                <w:rFonts w:ascii="宋体" w:hAnsi="宋体"/>
                <w:b/>
                <w:bCs/>
                <w:kern w:val="0"/>
                <w:sz w:val="18"/>
                <w:szCs w:val="18"/>
              </w:rPr>
            </w:pPr>
            <w:r>
              <w:rPr>
                <w:rFonts w:hint="eastAsia" w:ascii="宋体" w:hAnsi="宋体"/>
                <w:b/>
                <w:bCs/>
                <w:kern w:val="0"/>
                <w:sz w:val="18"/>
                <w:szCs w:val="18"/>
              </w:rPr>
              <w:t>预算单位</w:t>
            </w:r>
          </w:p>
        </w:tc>
        <w:tc>
          <w:tcPr>
            <w:tcW w:w="100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83A8F05">
            <w:pPr>
              <w:widowControl/>
              <w:jc w:val="center"/>
              <w:rPr>
                <w:rFonts w:ascii="宋体" w:hAnsi="宋体"/>
                <w:b/>
                <w:bCs/>
                <w:kern w:val="0"/>
                <w:sz w:val="18"/>
                <w:szCs w:val="18"/>
              </w:rPr>
            </w:pPr>
            <w:r>
              <w:rPr>
                <w:rFonts w:hint="eastAsia" w:ascii="宋体" w:hAnsi="宋体"/>
                <w:b/>
                <w:bCs/>
                <w:kern w:val="0"/>
                <w:sz w:val="18"/>
                <w:szCs w:val="18"/>
              </w:rPr>
              <w:t>建安费(万）</w:t>
            </w:r>
          </w:p>
        </w:tc>
        <w:tc>
          <w:tcPr>
            <w:tcW w:w="892" w:type="dxa"/>
            <w:tcBorders>
              <w:top w:val="single" w:color="auto" w:sz="4" w:space="0"/>
              <w:left w:val="nil"/>
              <w:bottom w:val="single" w:color="auto" w:sz="4" w:space="0"/>
              <w:right w:val="single" w:color="auto" w:sz="4" w:space="0"/>
            </w:tcBorders>
            <w:shd w:val="clear" w:color="auto" w:fill="auto"/>
            <w:vAlign w:val="center"/>
          </w:tcPr>
          <w:p w14:paraId="5E26FF8E">
            <w:pPr>
              <w:widowControl/>
              <w:jc w:val="center"/>
              <w:rPr>
                <w:rFonts w:ascii="宋体" w:hAnsi="宋体"/>
                <w:b/>
                <w:bCs/>
                <w:kern w:val="0"/>
                <w:sz w:val="18"/>
                <w:szCs w:val="18"/>
              </w:rPr>
            </w:pPr>
            <w:r>
              <w:rPr>
                <w:rFonts w:hint="eastAsia" w:ascii="宋体" w:hAnsi="宋体"/>
                <w:b/>
                <w:bCs/>
                <w:kern w:val="0"/>
                <w:sz w:val="18"/>
                <w:szCs w:val="18"/>
              </w:rPr>
              <w:t>分项设计费上限价</w:t>
            </w:r>
          </w:p>
        </w:tc>
        <w:tc>
          <w:tcPr>
            <w:tcW w:w="89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9A7CFB2">
            <w:pPr>
              <w:widowControl/>
              <w:jc w:val="center"/>
              <w:rPr>
                <w:rFonts w:ascii="宋体" w:hAnsi="宋体"/>
                <w:b/>
                <w:bCs/>
                <w:kern w:val="0"/>
                <w:sz w:val="18"/>
                <w:szCs w:val="18"/>
              </w:rPr>
            </w:pPr>
            <w:r>
              <w:rPr>
                <w:rFonts w:hint="eastAsia" w:ascii="宋体" w:hAnsi="宋体"/>
                <w:b/>
                <w:bCs/>
                <w:kern w:val="0"/>
                <w:sz w:val="18"/>
                <w:szCs w:val="18"/>
              </w:rPr>
              <w:t>标段设计费上限价（万）</w:t>
            </w:r>
          </w:p>
        </w:tc>
        <w:tc>
          <w:tcPr>
            <w:tcW w:w="85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17A432E">
            <w:pPr>
              <w:widowControl/>
              <w:jc w:val="center"/>
              <w:rPr>
                <w:rFonts w:ascii="宋体" w:hAnsi="宋体"/>
                <w:b/>
                <w:bCs/>
                <w:kern w:val="0"/>
                <w:sz w:val="18"/>
                <w:szCs w:val="18"/>
              </w:rPr>
            </w:pPr>
            <w:r>
              <w:rPr>
                <w:rFonts w:hint="eastAsia" w:ascii="宋体" w:hAnsi="宋体"/>
                <w:b/>
                <w:bCs/>
                <w:kern w:val="0"/>
                <w:sz w:val="18"/>
                <w:szCs w:val="18"/>
              </w:rPr>
              <w:t>拟分标段</w:t>
            </w:r>
          </w:p>
        </w:tc>
      </w:tr>
      <w:tr w14:paraId="4E96A700">
        <w:tblPrEx>
          <w:tblCellMar>
            <w:top w:w="0" w:type="dxa"/>
            <w:left w:w="108" w:type="dxa"/>
            <w:bottom w:w="0" w:type="dxa"/>
            <w:right w:w="108" w:type="dxa"/>
          </w:tblCellMar>
        </w:tblPrEx>
        <w:trPr>
          <w:trHeight w:val="351" w:hRule="atLeast"/>
        </w:trPr>
        <w:tc>
          <w:tcPr>
            <w:tcW w:w="236" w:type="dxa"/>
            <w:vMerge w:val="continue"/>
            <w:tcBorders>
              <w:top w:val="single" w:color="auto" w:sz="4" w:space="0"/>
              <w:left w:val="single" w:color="auto" w:sz="4" w:space="0"/>
              <w:bottom w:val="single" w:color="auto" w:sz="4" w:space="0"/>
              <w:right w:val="single" w:color="auto" w:sz="4" w:space="0"/>
            </w:tcBorders>
            <w:vAlign w:val="center"/>
          </w:tcPr>
          <w:p w14:paraId="18E9F83A">
            <w:pPr>
              <w:widowControl/>
              <w:jc w:val="left"/>
              <w:rPr>
                <w:rFonts w:ascii="宋体" w:hAnsi="宋体"/>
                <w:b/>
                <w:bCs/>
                <w:kern w:val="0"/>
                <w:sz w:val="18"/>
                <w:szCs w:val="18"/>
              </w:rPr>
            </w:pPr>
          </w:p>
        </w:tc>
        <w:tc>
          <w:tcPr>
            <w:tcW w:w="3191" w:type="dxa"/>
            <w:vMerge w:val="continue"/>
            <w:tcBorders>
              <w:top w:val="single" w:color="auto" w:sz="4" w:space="0"/>
              <w:left w:val="single" w:color="auto" w:sz="4" w:space="0"/>
              <w:bottom w:val="single" w:color="auto" w:sz="4" w:space="0"/>
              <w:right w:val="single" w:color="auto" w:sz="4" w:space="0"/>
            </w:tcBorders>
            <w:vAlign w:val="center"/>
          </w:tcPr>
          <w:p w14:paraId="58F07FD9">
            <w:pPr>
              <w:widowControl/>
              <w:jc w:val="left"/>
              <w:rPr>
                <w:rFonts w:ascii="宋体" w:hAnsi="宋体"/>
                <w:b/>
                <w:bCs/>
                <w:kern w:val="0"/>
                <w:sz w:val="18"/>
                <w:szCs w:val="18"/>
              </w:rPr>
            </w:pPr>
          </w:p>
        </w:tc>
        <w:tc>
          <w:tcPr>
            <w:tcW w:w="848" w:type="dxa"/>
            <w:vMerge w:val="continue"/>
            <w:tcBorders>
              <w:top w:val="single" w:color="auto" w:sz="4" w:space="0"/>
              <w:left w:val="single" w:color="auto" w:sz="4" w:space="0"/>
              <w:bottom w:val="single" w:color="auto" w:sz="4" w:space="0"/>
              <w:right w:val="single" w:color="auto" w:sz="4" w:space="0"/>
            </w:tcBorders>
            <w:vAlign w:val="center"/>
          </w:tcPr>
          <w:p w14:paraId="329D83F7">
            <w:pPr>
              <w:widowControl/>
              <w:jc w:val="left"/>
              <w:rPr>
                <w:rFonts w:ascii="宋体" w:hAnsi="宋体"/>
                <w:b/>
                <w:bCs/>
                <w:kern w:val="0"/>
                <w:sz w:val="18"/>
                <w:szCs w:val="18"/>
              </w:rPr>
            </w:pPr>
          </w:p>
        </w:tc>
        <w:tc>
          <w:tcPr>
            <w:tcW w:w="1100" w:type="dxa"/>
            <w:vMerge w:val="continue"/>
            <w:tcBorders>
              <w:top w:val="single" w:color="auto" w:sz="4" w:space="0"/>
              <w:left w:val="single" w:color="auto" w:sz="4" w:space="0"/>
              <w:bottom w:val="single" w:color="auto" w:sz="4" w:space="0"/>
              <w:right w:val="single" w:color="auto" w:sz="4" w:space="0"/>
            </w:tcBorders>
            <w:vAlign w:val="center"/>
          </w:tcPr>
          <w:p w14:paraId="3103C7F5">
            <w:pPr>
              <w:widowControl/>
              <w:jc w:val="left"/>
              <w:rPr>
                <w:rFonts w:ascii="宋体" w:hAnsi="宋体"/>
                <w:b/>
                <w:bCs/>
                <w:kern w:val="0"/>
                <w:sz w:val="18"/>
                <w:szCs w:val="18"/>
              </w:rPr>
            </w:pPr>
          </w:p>
        </w:tc>
        <w:tc>
          <w:tcPr>
            <w:tcW w:w="1100" w:type="dxa"/>
            <w:vMerge w:val="continue"/>
            <w:tcBorders>
              <w:top w:val="single" w:color="auto" w:sz="4" w:space="0"/>
              <w:left w:val="single" w:color="auto" w:sz="4" w:space="0"/>
              <w:bottom w:val="single" w:color="auto" w:sz="4" w:space="0"/>
              <w:right w:val="single" w:color="auto" w:sz="4" w:space="0"/>
            </w:tcBorders>
            <w:vAlign w:val="center"/>
          </w:tcPr>
          <w:p w14:paraId="52DF47E3">
            <w:pPr>
              <w:widowControl/>
              <w:jc w:val="left"/>
              <w:rPr>
                <w:rFonts w:ascii="宋体" w:hAnsi="宋体"/>
                <w:b/>
                <w:bCs/>
                <w:kern w:val="0"/>
                <w:sz w:val="18"/>
                <w:szCs w:val="18"/>
              </w:rPr>
            </w:pPr>
          </w:p>
        </w:tc>
        <w:tc>
          <w:tcPr>
            <w:tcW w:w="848" w:type="dxa"/>
            <w:vMerge w:val="continue"/>
            <w:tcBorders>
              <w:top w:val="single" w:color="auto" w:sz="4" w:space="0"/>
              <w:left w:val="single" w:color="auto" w:sz="4" w:space="0"/>
              <w:bottom w:val="single" w:color="auto" w:sz="4" w:space="0"/>
              <w:right w:val="single" w:color="auto" w:sz="4" w:space="0"/>
            </w:tcBorders>
            <w:vAlign w:val="center"/>
          </w:tcPr>
          <w:p w14:paraId="4CFAA7B5">
            <w:pPr>
              <w:widowControl/>
              <w:jc w:val="left"/>
              <w:rPr>
                <w:rFonts w:ascii="宋体" w:hAnsi="宋体"/>
                <w:b/>
                <w:bCs/>
                <w:kern w:val="0"/>
                <w:sz w:val="18"/>
                <w:szCs w:val="18"/>
              </w:rPr>
            </w:pPr>
          </w:p>
        </w:tc>
        <w:tc>
          <w:tcPr>
            <w:tcW w:w="848" w:type="dxa"/>
            <w:tcBorders>
              <w:top w:val="nil"/>
              <w:left w:val="nil"/>
              <w:bottom w:val="single" w:color="auto" w:sz="4" w:space="0"/>
              <w:right w:val="single" w:color="auto" w:sz="4" w:space="0"/>
            </w:tcBorders>
            <w:shd w:val="clear" w:color="auto" w:fill="auto"/>
            <w:vAlign w:val="center"/>
          </w:tcPr>
          <w:p w14:paraId="7E5EEE3D">
            <w:pPr>
              <w:widowControl/>
              <w:jc w:val="center"/>
              <w:rPr>
                <w:rFonts w:ascii="宋体" w:hAnsi="宋体"/>
                <w:b/>
                <w:bCs/>
                <w:kern w:val="0"/>
                <w:sz w:val="18"/>
                <w:szCs w:val="18"/>
              </w:rPr>
            </w:pPr>
            <w:r>
              <w:rPr>
                <w:rFonts w:hint="eastAsia" w:ascii="宋体" w:hAnsi="宋体"/>
                <w:b/>
                <w:bCs/>
                <w:kern w:val="0"/>
                <w:sz w:val="18"/>
                <w:szCs w:val="18"/>
              </w:rPr>
              <w:t>类型</w:t>
            </w:r>
          </w:p>
        </w:tc>
        <w:tc>
          <w:tcPr>
            <w:tcW w:w="888" w:type="dxa"/>
            <w:tcBorders>
              <w:top w:val="nil"/>
              <w:left w:val="nil"/>
              <w:bottom w:val="single" w:color="auto" w:sz="4" w:space="0"/>
              <w:right w:val="single" w:color="auto" w:sz="4" w:space="0"/>
            </w:tcBorders>
            <w:shd w:val="clear" w:color="auto" w:fill="auto"/>
            <w:vAlign w:val="center"/>
          </w:tcPr>
          <w:p w14:paraId="74D79AEB">
            <w:pPr>
              <w:widowControl/>
              <w:jc w:val="center"/>
              <w:rPr>
                <w:rFonts w:ascii="宋体" w:hAnsi="宋体"/>
                <w:b/>
                <w:bCs/>
                <w:kern w:val="0"/>
                <w:sz w:val="18"/>
                <w:szCs w:val="18"/>
              </w:rPr>
            </w:pPr>
            <w:r>
              <w:rPr>
                <w:rFonts w:hint="eastAsia" w:ascii="宋体" w:hAnsi="宋体"/>
                <w:b/>
                <w:bCs/>
                <w:kern w:val="0"/>
                <w:sz w:val="18"/>
                <w:szCs w:val="18"/>
              </w:rPr>
              <w:t>(公里)</w:t>
            </w:r>
          </w:p>
        </w:tc>
        <w:tc>
          <w:tcPr>
            <w:tcW w:w="848" w:type="dxa"/>
            <w:vMerge w:val="continue"/>
            <w:tcBorders>
              <w:top w:val="single" w:color="auto" w:sz="4" w:space="0"/>
              <w:left w:val="single" w:color="auto" w:sz="4" w:space="0"/>
              <w:bottom w:val="single" w:color="auto" w:sz="4" w:space="0"/>
              <w:right w:val="single" w:color="auto" w:sz="4" w:space="0"/>
            </w:tcBorders>
            <w:vAlign w:val="center"/>
          </w:tcPr>
          <w:p w14:paraId="0EE75A8A">
            <w:pPr>
              <w:widowControl/>
              <w:jc w:val="left"/>
              <w:rPr>
                <w:rFonts w:ascii="宋体" w:hAnsi="宋体"/>
                <w:b/>
                <w:bCs/>
                <w:kern w:val="0"/>
                <w:sz w:val="18"/>
                <w:szCs w:val="18"/>
              </w:rPr>
            </w:pPr>
          </w:p>
        </w:tc>
        <w:tc>
          <w:tcPr>
            <w:tcW w:w="848" w:type="dxa"/>
            <w:tcBorders>
              <w:top w:val="nil"/>
              <w:left w:val="nil"/>
              <w:bottom w:val="single" w:color="auto" w:sz="4" w:space="0"/>
              <w:right w:val="single" w:color="auto" w:sz="4" w:space="0"/>
            </w:tcBorders>
            <w:shd w:val="clear" w:color="auto" w:fill="auto"/>
            <w:vAlign w:val="center"/>
          </w:tcPr>
          <w:p w14:paraId="416103D0">
            <w:pPr>
              <w:widowControl/>
              <w:jc w:val="center"/>
              <w:rPr>
                <w:rFonts w:ascii="宋体" w:hAnsi="宋体"/>
                <w:b/>
                <w:bCs/>
                <w:kern w:val="0"/>
                <w:sz w:val="18"/>
                <w:szCs w:val="18"/>
              </w:rPr>
            </w:pPr>
            <w:r>
              <w:rPr>
                <w:rFonts w:hint="eastAsia" w:ascii="宋体" w:hAnsi="宋体"/>
                <w:b/>
                <w:bCs/>
                <w:kern w:val="0"/>
                <w:sz w:val="18"/>
                <w:szCs w:val="18"/>
              </w:rPr>
              <w:t xml:space="preserve">（万元） </w:t>
            </w:r>
          </w:p>
        </w:tc>
        <w:tc>
          <w:tcPr>
            <w:tcW w:w="1304" w:type="dxa"/>
            <w:vMerge w:val="continue"/>
            <w:tcBorders>
              <w:top w:val="single" w:color="auto" w:sz="4" w:space="0"/>
              <w:left w:val="single" w:color="auto" w:sz="4" w:space="0"/>
              <w:bottom w:val="single" w:color="auto" w:sz="4" w:space="0"/>
              <w:right w:val="single" w:color="auto" w:sz="4" w:space="0"/>
            </w:tcBorders>
            <w:vAlign w:val="center"/>
          </w:tcPr>
          <w:p w14:paraId="2685D1C7">
            <w:pPr>
              <w:widowControl/>
              <w:jc w:val="left"/>
              <w:rPr>
                <w:rFonts w:ascii="宋体" w:hAnsi="宋体"/>
                <w:b/>
                <w:bCs/>
                <w:kern w:val="0"/>
                <w:sz w:val="18"/>
                <w:szCs w:val="18"/>
              </w:rPr>
            </w:pPr>
          </w:p>
        </w:tc>
        <w:tc>
          <w:tcPr>
            <w:tcW w:w="1000" w:type="dxa"/>
            <w:vMerge w:val="continue"/>
            <w:tcBorders>
              <w:top w:val="single" w:color="auto" w:sz="4" w:space="0"/>
              <w:left w:val="single" w:color="auto" w:sz="4" w:space="0"/>
              <w:bottom w:val="single" w:color="auto" w:sz="4" w:space="0"/>
              <w:right w:val="single" w:color="auto" w:sz="4" w:space="0"/>
            </w:tcBorders>
            <w:vAlign w:val="center"/>
          </w:tcPr>
          <w:p w14:paraId="4EDE7806">
            <w:pPr>
              <w:widowControl/>
              <w:jc w:val="left"/>
              <w:rPr>
                <w:rFonts w:ascii="宋体" w:hAnsi="宋体"/>
                <w:b/>
                <w:bCs/>
                <w:kern w:val="0"/>
                <w:sz w:val="18"/>
                <w:szCs w:val="18"/>
              </w:rPr>
            </w:pPr>
          </w:p>
        </w:tc>
        <w:tc>
          <w:tcPr>
            <w:tcW w:w="892" w:type="dxa"/>
            <w:tcBorders>
              <w:top w:val="nil"/>
              <w:left w:val="nil"/>
              <w:bottom w:val="single" w:color="auto" w:sz="4" w:space="0"/>
              <w:right w:val="single" w:color="auto" w:sz="4" w:space="0"/>
            </w:tcBorders>
            <w:shd w:val="clear" w:color="auto" w:fill="auto"/>
            <w:vAlign w:val="center"/>
          </w:tcPr>
          <w:p w14:paraId="4CF4C4AB">
            <w:pPr>
              <w:widowControl/>
              <w:jc w:val="center"/>
              <w:rPr>
                <w:rFonts w:ascii="宋体" w:hAnsi="宋体"/>
                <w:b/>
                <w:bCs/>
                <w:kern w:val="0"/>
                <w:sz w:val="18"/>
                <w:szCs w:val="18"/>
              </w:rPr>
            </w:pPr>
            <w:r>
              <w:rPr>
                <w:rFonts w:hint="eastAsia" w:ascii="宋体" w:hAnsi="宋体"/>
                <w:b/>
                <w:bCs/>
                <w:kern w:val="0"/>
                <w:sz w:val="18"/>
                <w:szCs w:val="18"/>
              </w:rPr>
              <w:t>（万）</w:t>
            </w:r>
          </w:p>
        </w:tc>
        <w:tc>
          <w:tcPr>
            <w:tcW w:w="892" w:type="dxa"/>
            <w:vMerge w:val="continue"/>
            <w:tcBorders>
              <w:top w:val="single" w:color="auto" w:sz="4" w:space="0"/>
              <w:left w:val="single" w:color="auto" w:sz="4" w:space="0"/>
              <w:bottom w:val="single" w:color="auto" w:sz="4" w:space="0"/>
              <w:right w:val="single" w:color="auto" w:sz="4" w:space="0"/>
            </w:tcBorders>
            <w:vAlign w:val="center"/>
          </w:tcPr>
          <w:p w14:paraId="665B7C85">
            <w:pPr>
              <w:widowControl/>
              <w:jc w:val="left"/>
              <w:rPr>
                <w:rFonts w:ascii="宋体" w:hAnsi="宋体"/>
                <w:b/>
                <w:bCs/>
                <w:kern w:val="0"/>
                <w:sz w:val="18"/>
                <w:szCs w:val="18"/>
              </w:rPr>
            </w:pPr>
          </w:p>
        </w:tc>
        <w:tc>
          <w:tcPr>
            <w:tcW w:w="851" w:type="dxa"/>
            <w:vMerge w:val="continue"/>
            <w:tcBorders>
              <w:top w:val="single" w:color="auto" w:sz="4" w:space="0"/>
              <w:left w:val="single" w:color="auto" w:sz="4" w:space="0"/>
              <w:bottom w:val="single" w:color="auto" w:sz="4" w:space="0"/>
              <w:right w:val="single" w:color="auto" w:sz="4" w:space="0"/>
            </w:tcBorders>
            <w:vAlign w:val="center"/>
          </w:tcPr>
          <w:p w14:paraId="6FF4EC32">
            <w:pPr>
              <w:widowControl/>
              <w:jc w:val="left"/>
              <w:rPr>
                <w:rFonts w:ascii="宋体" w:hAnsi="宋体"/>
                <w:b/>
                <w:bCs/>
                <w:kern w:val="0"/>
                <w:sz w:val="18"/>
                <w:szCs w:val="18"/>
              </w:rPr>
            </w:pPr>
          </w:p>
        </w:tc>
      </w:tr>
      <w:tr w14:paraId="40A566DC">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1EBA3161">
            <w:pPr>
              <w:widowControl/>
              <w:jc w:val="center"/>
              <w:rPr>
                <w:rFonts w:ascii="宋体" w:hAnsi="宋体"/>
                <w:kern w:val="0"/>
                <w:sz w:val="18"/>
                <w:szCs w:val="18"/>
              </w:rPr>
            </w:pPr>
            <w:r>
              <w:rPr>
                <w:rFonts w:hint="eastAsia" w:ascii="宋体" w:hAnsi="宋体"/>
                <w:kern w:val="0"/>
                <w:sz w:val="18"/>
                <w:szCs w:val="18"/>
              </w:rPr>
              <w:t>1</w:t>
            </w:r>
          </w:p>
        </w:tc>
        <w:tc>
          <w:tcPr>
            <w:tcW w:w="3191" w:type="dxa"/>
            <w:tcBorders>
              <w:top w:val="nil"/>
              <w:left w:val="nil"/>
              <w:bottom w:val="single" w:color="auto" w:sz="4" w:space="0"/>
              <w:right w:val="single" w:color="auto" w:sz="4" w:space="0"/>
            </w:tcBorders>
            <w:shd w:val="clear" w:color="auto" w:fill="auto"/>
            <w:vAlign w:val="center"/>
          </w:tcPr>
          <w:p w14:paraId="049FF9EE">
            <w:pPr>
              <w:widowControl/>
              <w:jc w:val="center"/>
              <w:rPr>
                <w:rFonts w:ascii="宋体" w:hAnsi="宋体"/>
                <w:kern w:val="0"/>
                <w:sz w:val="18"/>
                <w:szCs w:val="18"/>
              </w:rPr>
            </w:pPr>
            <w:r>
              <w:rPr>
                <w:rFonts w:hint="eastAsia" w:ascii="宋体" w:hAnsi="宋体"/>
                <w:kern w:val="0"/>
                <w:sz w:val="18"/>
                <w:szCs w:val="18"/>
              </w:rPr>
              <w:t>G321线K743+000-K744+000路面修复养护</w:t>
            </w:r>
          </w:p>
        </w:tc>
        <w:tc>
          <w:tcPr>
            <w:tcW w:w="848" w:type="dxa"/>
            <w:tcBorders>
              <w:top w:val="nil"/>
              <w:left w:val="nil"/>
              <w:bottom w:val="single" w:color="auto" w:sz="4" w:space="0"/>
              <w:right w:val="single" w:color="auto" w:sz="4" w:space="0"/>
            </w:tcBorders>
            <w:shd w:val="clear" w:color="auto" w:fill="auto"/>
            <w:vAlign w:val="center"/>
          </w:tcPr>
          <w:p w14:paraId="69E04EEA">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17B8FB42">
            <w:pPr>
              <w:widowControl/>
              <w:jc w:val="center"/>
              <w:rPr>
                <w:rFonts w:ascii="宋体" w:hAnsi="宋体"/>
                <w:kern w:val="0"/>
                <w:sz w:val="18"/>
                <w:szCs w:val="18"/>
              </w:rPr>
            </w:pPr>
            <w:r>
              <w:rPr>
                <w:rFonts w:hint="eastAsia" w:ascii="宋体" w:hAnsi="宋体"/>
                <w:kern w:val="0"/>
                <w:sz w:val="18"/>
                <w:szCs w:val="18"/>
              </w:rPr>
              <w:t>743</w:t>
            </w:r>
          </w:p>
        </w:tc>
        <w:tc>
          <w:tcPr>
            <w:tcW w:w="1100" w:type="dxa"/>
            <w:tcBorders>
              <w:top w:val="nil"/>
              <w:left w:val="nil"/>
              <w:bottom w:val="single" w:color="auto" w:sz="4" w:space="0"/>
              <w:right w:val="single" w:color="auto" w:sz="4" w:space="0"/>
            </w:tcBorders>
            <w:shd w:val="clear" w:color="auto" w:fill="auto"/>
            <w:vAlign w:val="center"/>
          </w:tcPr>
          <w:p w14:paraId="5785178A">
            <w:pPr>
              <w:widowControl/>
              <w:jc w:val="center"/>
              <w:rPr>
                <w:rFonts w:ascii="宋体" w:hAnsi="宋体"/>
                <w:kern w:val="0"/>
                <w:sz w:val="18"/>
                <w:szCs w:val="18"/>
              </w:rPr>
            </w:pPr>
            <w:r>
              <w:rPr>
                <w:rFonts w:hint="eastAsia" w:ascii="宋体" w:hAnsi="宋体"/>
                <w:kern w:val="0"/>
                <w:sz w:val="18"/>
                <w:szCs w:val="18"/>
              </w:rPr>
              <w:t>744</w:t>
            </w:r>
          </w:p>
        </w:tc>
        <w:tc>
          <w:tcPr>
            <w:tcW w:w="848" w:type="dxa"/>
            <w:tcBorders>
              <w:top w:val="nil"/>
              <w:left w:val="nil"/>
              <w:bottom w:val="single" w:color="auto" w:sz="4" w:space="0"/>
              <w:right w:val="single" w:color="auto" w:sz="4" w:space="0"/>
            </w:tcBorders>
            <w:shd w:val="clear" w:color="auto" w:fill="auto"/>
            <w:vAlign w:val="center"/>
          </w:tcPr>
          <w:p w14:paraId="4A690671">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327D76C9">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56D03276">
            <w:pPr>
              <w:widowControl/>
              <w:jc w:val="center"/>
              <w:rPr>
                <w:rFonts w:ascii="宋体" w:hAnsi="宋体"/>
                <w:kern w:val="0"/>
                <w:sz w:val="18"/>
                <w:szCs w:val="18"/>
              </w:rPr>
            </w:pPr>
            <w:r>
              <w:rPr>
                <w:rFonts w:hint="eastAsia" w:ascii="宋体" w:hAnsi="宋体"/>
                <w:kern w:val="0"/>
                <w:sz w:val="18"/>
                <w:szCs w:val="18"/>
              </w:rPr>
              <w:t>1</w:t>
            </w:r>
          </w:p>
        </w:tc>
        <w:tc>
          <w:tcPr>
            <w:tcW w:w="848" w:type="dxa"/>
            <w:tcBorders>
              <w:top w:val="nil"/>
              <w:left w:val="nil"/>
              <w:bottom w:val="single" w:color="auto" w:sz="4" w:space="0"/>
              <w:right w:val="single" w:color="auto" w:sz="4" w:space="0"/>
            </w:tcBorders>
            <w:shd w:val="clear" w:color="auto" w:fill="auto"/>
            <w:noWrap/>
            <w:vAlign w:val="center"/>
          </w:tcPr>
          <w:p w14:paraId="5A9EE57B">
            <w:pPr>
              <w:widowControl/>
              <w:jc w:val="center"/>
              <w:rPr>
                <w:rFonts w:ascii="宋体" w:hAnsi="宋体"/>
                <w:kern w:val="0"/>
                <w:sz w:val="18"/>
                <w:szCs w:val="18"/>
              </w:rPr>
            </w:pPr>
            <w:r>
              <w:rPr>
                <w:rFonts w:hint="eastAsia" w:ascii="宋体" w:hAnsi="宋体"/>
                <w:kern w:val="0"/>
                <w:sz w:val="18"/>
                <w:szCs w:val="18"/>
              </w:rPr>
              <w:t>8.5</w:t>
            </w:r>
          </w:p>
        </w:tc>
        <w:tc>
          <w:tcPr>
            <w:tcW w:w="848" w:type="dxa"/>
            <w:tcBorders>
              <w:top w:val="nil"/>
              <w:left w:val="nil"/>
              <w:bottom w:val="single" w:color="auto" w:sz="4" w:space="0"/>
              <w:right w:val="single" w:color="auto" w:sz="4" w:space="0"/>
            </w:tcBorders>
            <w:shd w:val="clear" w:color="auto" w:fill="auto"/>
            <w:noWrap/>
            <w:vAlign w:val="center"/>
          </w:tcPr>
          <w:p w14:paraId="283AC15E">
            <w:pPr>
              <w:widowControl/>
              <w:jc w:val="center"/>
              <w:rPr>
                <w:rFonts w:ascii="宋体" w:hAnsi="宋体"/>
                <w:kern w:val="0"/>
                <w:sz w:val="18"/>
                <w:szCs w:val="18"/>
              </w:rPr>
            </w:pPr>
            <w:r>
              <w:rPr>
                <w:rFonts w:hint="eastAsia" w:ascii="宋体" w:hAnsi="宋体"/>
                <w:kern w:val="0"/>
                <w:sz w:val="18"/>
                <w:szCs w:val="18"/>
              </w:rPr>
              <w:t>230</w:t>
            </w:r>
          </w:p>
        </w:tc>
        <w:tc>
          <w:tcPr>
            <w:tcW w:w="1304" w:type="dxa"/>
            <w:tcBorders>
              <w:top w:val="nil"/>
              <w:left w:val="nil"/>
              <w:bottom w:val="single" w:color="auto" w:sz="4" w:space="0"/>
              <w:right w:val="single" w:color="auto" w:sz="4" w:space="0"/>
            </w:tcBorders>
            <w:shd w:val="clear" w:color="auto" w:fill="auto"/>
            <w:vAlign w:val="center"/>
          </w:tcPr>
          <w:p w14:paraId="1401B7EE">
            <w:pPr>
              <w:widowControl/>
              <w:jc w:val="center"/>
              <w:rPr>
                <w:rFonts w:ascii="宋体" w:hAnsi="宋体"/>
                <w:kern w:val="0"/>
                <w:sz w:val="18"/>
                <w:szCs w:val="18"/>
              </w:rPr>
            </w:pPr>
            <w:r>
              <w:rPr>
                <w:rFonts w:hint="eastAsia" w:ascii="宋体" w:hAnsi="宋体"/>
                <w:kern w:val="0"/>
                <w:sz w:val="18"/>
                <w:szCs w:val="18"/>
              </w:rPr>
              <w:t>三江公路养护中心</w:t>
            </w:r>
          </w:p>
        </w:tc>
        <w:tc>
          <w:tcPr>
            <w:tcW w:w="1000" w:type="dxa"/>
            <w:tcBorders>
              <w:top w:val="nil"/>
              <w:left w:val="nil"/>
              <w:bottom w:val="single" w:color="auto" w:sz="4" w:space="0"/>
              <w:right w:val="single" w:color="auto" w:sz="4" w:space="0"/>
            </w:tcBorders>
            <w:shd w:val="clear" w:color="auto" w:fill="auto"/>
            <w:noWrap/>
            <w:vAlign w:val="center"/>
          </w:tcPr>
          <w:p w14:paraId="789711D9">
            <w:pPr>
              <w:widowControl/>
              <w:jc w:val="center"/>
              <w:rPr>
                <w:rFonts w:ascii="宋体" w:hAnsi="宋体"/>
                <w:kern w:val="0"/>
                <w:sz w:val="18"/>
                <w:szCs w:val="18"/>
              </w:rPr>
            </w:pPr>
            <w:r>
              <w:rPr>
                <w:rFonts w:hint="eastAsia" w:ascii="宋体" w:hAnsi="宋体"/>
                <w:kern w:val="0"/>
                <w:sz w:val="18"/>
                <w:szCs w:val="18"/>
              </w:rPr>
              <w:t>211.6</w:t>
            </w:r>
          </w:p>
        </w:tc>
        <w:tc>
          <w:tcPr>
            <w:tcW w:w="892" w:type="dxa"/>
            <w:tcBorders>
              <w:top w:val="nil"/>
              <w:left w:val="nil"/>
              <w:bottom w:val="single" w:color="auto" w:sz="4" w:space="0"/>
              <w:right w:val="single" w:color="auto" w:sz="4" w:space="0"/>
            </w:tcBorders>
            <w:shd w:val="clear" w:color="auto" w:fill="auto"/>
            <w:vAlign w:val="center"/>
          </w:tcPr>
          <w:p w14:paraId="1065DCC6">
            <w:pPr>
              <w:widowControl/>
              <w:jc w:val="center"/>
              <w:rPr>
                <w:rFonts w:ascii="宋体" w:hAnsi="宋体"/>
                <w:kern w:val="0"/>
                <w:sz w:val="18"/>
                <w:szCs w:val="18"/>
              </w:rPr>
            </w:pPr>
            <w:r>
              <w:rPr>
                <w:rFonts w:hint="eastAsia" w:ascii="宋体" w:hAnsi="宋体"/>
                <w:kern w:val="0"/>
                <w:sz w:val="18"/>
                <w:szCs w:val="18"/>
              </w:rPr>
              <w:t>5.02</w:t>
            </w:r>
          </w:p>
        </w:tc>
        <w:tc>
          <w:tcPr>
            <w:tcW w:w="892" w:type="dxa"/>
            <w:vMerge w:val="restart"/>
            <w:tcBorders>
              <w:top w:val="nil"/>
              <w:left w:val="single" w:color="auto" w:sz="4" w:space="0"/>
              <w:bottom w:val="single" w:color="auto" w:sz="4" w:space="0"/>
              <w:right w:val="single" w:color="auto" w:sz="4" w:space="0"/>
            </w:tcBorders>
            <w:shd w:val="clear" w:color="auto" w:fill="auto"/>
            <w:noWrap/>
            <w:vAlign w:val="center"/>
          </w:tcPr>
          <w:p w14:paraId="7F1CFE93">
            <w:pPr>
              <w:widowControl/>
              <w:jc w:val="center"/>
              <w:rPr>
                <w:rFonts w:ascii="宋体" w:hAnsi="宋体"/>
                <w:b/>
                <w:bCs/>
                <w:kern w:val="0"/>
                <w:sz w:val="18"/>
                <w:szCs w:val="18"/>
              </w:rPr>
            </w:pPr>
            <w:r>
              <w:rPr>
                <w:rFonts w:hint="eastAsia" w:ascii="宋体" w:hAnsi="宋体"/>
                <w:b/>
                <w:bCs/>
                <w:kern w:val="0"/>
                <w:sz w:val="18"/>
                <w:szCs w:val="18"/>
              </w:rPr>
              <w:t xml:space="preserve">32.6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5C9A58B1">
            <w:pPr>
              <w:widowControl/>
              <w:jc w:val="center"/>
              <w:rPr>
                <w:rFonts w:ascii="宋体" w:hAnsi="宋体"/>
                <w:b/>
                <w:bCs/>
                <w:kern w:val="0"/>
                <w:sz w:val="18"/>
                <w:szCs w:val="18"/>
              </w:rPr>
            </w:pPr>
            <w:r>
              <w:rPr>
                <w:rFonts w:hint="eastAsia" w:ascii="宋体" w:hAnsi="宋体"/>
                <w:b/>
                <w:bCs/>
                <w:kern w:val="0"/>
                <w:sz w:val="18"/>
                <w:szCs w:val="18"/>
              </w:rPr>
              <w:t>NO.A</w:t>
            </w:r>
          </w:p>
        </w:tc>
      </w:tr>
      <w:tr w14:paraId="78386551">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174CD74D">
            <w:pPr>
              <w:widowControl/>
              <w:jc w:val="center"/>
              <w:rPr>
                <w:rFonts w:ascii="宋体" w:hAnsi="宋体"/>
                <w:kern w:val="0"/>
                <w:sz w:val="18"/>
                <w:szCs w:val="18"/>
              </w:rPr>
            </w:pPr>
            <w:r>
              <w:rPr>
                <w:rFonts w:hint="eastAsia" w:ascii="宋体" w:hAnsi="宋体"/>
                <w:kern w:val="0"/>
                <w:sz w:val="18"/>
                <w:szCs w:val="18"/>
              </w:rPr>
              <w:t>2</w:t>
            </w:r>
          </w:p>
        </w:tc>
        <w:tc>
          <w:tcPr>
            <w:tcW w:w="3191" w:type="dxa"/>
            <w:tcBorders>
              <w:top w:val="nil"/>
              <w:left w:val="nil"/>
              <w:bottom w:val="single" w:color="auto" w:sz="4" w:space="0"/>
              <w:right w:val="single" w:color="auto" w:sz="4" w:space="0"/>
            </w:tcBorders>
            <w:shd w:val="clear" w:color="auto" w:fill="auto"/>
            <w:vAlign w:val="center"/>
          </w:tcPr>
          <w:p w14:paraId="1172023A">
            <w:pPr>
              <w:widowControl/>
              <w:jc w:val="center"/>
              <w:rPr>
                <w:rFonts w:ascii="宋体" w:hAnsi="宋体"/>
                <w:kern w:val="0"/>
                <w:sz w:val="18"/>
                <w:szCs w:val="18"/>
              </w:rPr>
            </w:pPr>
            <w:r>
              <w:rPr>
                <w:rFonts w:hint="eastAsia" w:ascii="宋体" w:hAnsi="宋体"/>
                <w:kern w:val="0"/>
                <w:sz w:val="18"/>
                <w:szCs w:val="18"/>
              </w:rPr>
              <w:t>G321线K756+457-K759+000路面修复养护</w:t>
            </w:r>
          </w:p>
        </w:tc>
        <w:tc>
          <w:tcPr>
            <w:tcW w:w="848" w:type="dxa"/>
            <w:tcBorders>
              <w:top w:val="nil"/>
              <w:left w:val="nil"/>
              <w:bottom w:val="single" w:color="auto" w:sz="4" w:space="0"/>
              <w:right w:val="single" w:color="auto" w:sz="4" w:space="0"/>
            </w:tcBorders>
            <w:shd w:val="clear" w:color="auto" w:fill="auto"/>
            <w:vAlign w:val="center"/>
          </w:tcPr>
          <w:p w14:paraId="0E866E86">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4F9F7B88">
            <w:pPr>
              <w:widowControl/>
              <w:jc w:val="center"/>
              <w:rPr>
                <w:rFonts w:ascii="宋体" w:hAnsi="宋体"/>
                <w:kern w:val="0"/>
                <w:sz w:val="18"/>
                <w:szCs w:val="18"/>
              </w:rPr>
            </w:pPr>
            <w:r>
              <w:rPr>
                <w:rFonts w:hint="eastAsia" w:ascii="宋体" w:hAnsi="宋体"/>
                <w:kern w:val="0"/>
                <w:sz w:val="18"/>
                <w:szCs w:val="18"/>
              </w:rPr>
              <w:t>756.457</w:t>
            </w:r>
          </w:p>
        </w:tc>
        <w:tc>
          <w:tcPr>
            <w:tcW w:w="1100" w:type="dxa"/>
            <w:tcBorders>
              <w:top w:val="nil"/>
              <w:left w:val="nil"/>
              <w:bottom w:val="single" w:color="auto" w:sz="4" w:space="0"/>
              <w:right w:val="single" w:color="auto" w:sz="4" w:space="0"/>
            </w:tcBorders>
            <w:shd w:val="clear" w:color="auto" w:fill="auto"/>
            <w:vAlign w:val="center"/>
          </w:tcPr>
          <w:p w14:paraId="208F55CC">
            <w:pPr>
              <w:widowControl/>
              <w:jc w:val="center"/>
              <w:rPr>
                <w:rFonts w:ascii="宋体" w:hAnsi="宋体"/>
                <w:kern w:val="0"/>
                <w:sz w:val="18"/>
                <w:szCs w:val="18"/>
              </w:rPr>
            </w:pPr>
            <w:r>
              <w:rPr>
                <w:rFonts w:hint="eastAsia" w:ascii="宋体" w:hAnsi="宋体"/>
                <w:kern w:val="0"/>
                <w:sz w:val="18"/>
                <w:szCs w:val="18"/>
              </w:rPr>
              <w:t>759</w:t>
            </w:r>
          </w:p>
        </w:tc>
        <w:tc>
          <w:tcPr>
            <w:tcW w:w="848" w:type="dxa"/>
            <w:tcBorders>
              <w:top w:val="nil"/>
              <w:left w:val="nil"/>
              <w:bottom w:val="single" w:color="auto" w:sz="4" w:space="0"/>
              <w:right w:val="single" w:color="auto" w:sz="4" w:space="0"/>
            </w:tcBorders>
            <w:shd w:val="clear" w:color="auto" w:fill="auto"/>
            <w:vAlign w:val="center"/>
          </w:tcPr>
          <w:p w14:paraId="361B7520">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5AFBBF3D">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7079111D">
            <w:pPr>
              <w:widowControl/>
              <w:jc w:val="center"/>
              <w:rPr>
                <w:rFonts w:ascii="宋体" w:hAnsi="宋体"/>
                <w:kern w:val="0"/>
                <w:sz w:val="18"/>
                <w:szCs w:val="18"/>
              </w:rPr>
            </w:pPr>
            <w:r>
              <w:rPr>
                <w:rFonts w:hint="eastAsia" w:ascii="宋体" w:hAnsi="宋体"/>
                <w:kern w:val="0"/>
                <w:sz w:val="18"/>
                <w:szCs w:val="18"/>
              </w:rPr>
              <w:t>2.543</w:t>
            </w:r>
          </w:p>
        </w:tc>
        <w:tc>
          <w:tcPr>
            <w:tcW w:w="848" w:type="dxa"/>
            <w:tcBorders>
              <w:top w:val="nil"/>
              <w:left w:val="nil"/>
              <w:bottom w:val="single" w:color="auto" w:sz="4" w:space="0"/>
              <w:right w:val="single" w:color="auto" w:sz="4" w:space="0"/>
            </w:tcBorders>
            <w:shd w:val="clear" w:color="auto" w:fill="auto"/>
            <w:noWrap/>
            <w:vAlign w:val="center"/>
          </w:tcPr>
          <w:p w14:paraId="0646BCA9">
            <w:pPr>
              <w:widowControl/>
              <w:jc w:val="center"/>
              <w:rPr>
                <w:rFonts w:ascii="宋体" w:hAnsi="宋体"/>
                <w:kern w:val="0"/>
                <w:sz w:val="18"/>
                <w:szCs w:val="18"/>
              </w:rPr>
            </w:pPr>
            <w:r>
              <w:rPr>
                <w:rFonts w:hint="eastAsia" w:ascii="宋体" w:hAnsi="宋体"/>
                <w:kern w:val="0"/>
                <w:sz w:val="18"/>
                <w:szCs w:val="18"/>
              </w:rPr>
              <w:t>8.5</w:t>
            </w:r>
          </w:p>
        </w:tc>
        <w:tc>
          <w:tcPr>
            <w:tcW w:w="848" w:type="dxa"/>
            <w:tcBorders>
              <w:top w:val="nil"/>
              <w:left w:val="nil"/>
              <w:bottom w:val="single" w:color="auto" w:sz="4" w:space="0"/>
              <w:right w:val="single" w:color="auto" w:sz="4" w:space="0"/>
            </w:tcBorders>
            <w:shd w:val="clear" w:color="auto" w:fill="auto"/>
            <w:noWrap/>
            <w:vAlign w:val="center"/>
          </w:tcPr>
          <w:p w14:paraId="374F4C0B">
            <w:pPr>
              <w:widowControl/>
              <w:jc w:val="center"/>
              <w:rPr>
                <w:rFonts w:ascii="宋体" w:hAnsi="宋体"/>
                <w:kern w:val="0"/>
                <w:sz w:val="18"/>
                <w:szCs w:val="18"/>
              </w:rPr>
            </w:pPr>
            <w:r>
              <w:rPr>
                <w:rFonts w:hint="eastAsia" w:ascii="宋体" w:hAnsi="宋体"/>
                <w:kern w:val="0"/>
                <w:sz w:val="18"/>
                <w:szCs w:val="18"/>
              </w:rPr>
              <w:t>569</w:t>
            </w:r>
          </w:p>
        </w:tc>
        <w:tc>
          <w:tcPr>
            <w:tcW w:w="1304" w:type="dxa"/>
            <w:tcBorders>
              <w:top w:val="nil"/>
              <w:left w:val="nil"/>
              <w:bottom w:val="single" w:color="auto" w:sz="4" w:space="0"/>
              <w:right w:val="single" w:color="auto" w:sz="4" w:space="0"/>
            </w:tcBorders>
            <w:shd w:val="clear" w:color="auto" w:fill="auto"/>
            <w:vAlign w:val="center"/>
          </w:tcPr>
          <w:p w14:paraId="41B69034">
            <w:pPr>
              <w:widowControl/>
              <w:jc w:val="center"/>
              <w:rPr>
                <w:rFonts w:ascii="宋体" w:hAnsi="宋体"/>
                <w:kern w:val="0"/>
                <w:sz w:val="18"/>
                <w:szCs w:val="18"/>
              </w:rPr>
            </w:pPr>
            <w:r>
              <w:rPr>
                <w:rFonts w:hint="eastAsia" w:ascii="宋体" w:hAnsi="宋体"/>
                <w:kern w:val="0"/>
                <w:sz w:val="18"/>
                <w:szCs w:val="18"/>
              </w:rPr>
              <w:t>桂中公路发展中心</w:t>
            </w:r>
          </w:p>
        </w:tc>
        <w:tc>
          <w:tcPr>
            <w:tcW w:w="1000" w:type="dxa"/>
            <w:tcBorders>
              <w:top w:val="nil"/>
              <w:left w:val="nil"/>
              <w:bottom w:val="single" w:color="auto" w:sz="4" w:space="0"/>
              <w:right w:val="single" w:color="auto" w:sz="4" w:space="0"/>
            </w:tcBorders>
            <w:shd w:val="clear" w:color="auto" w:fill="auto"/>
            <w:noWrap/>
            <w:vAlign w:val="center"/>
          </w:tcPr>
          <w:p w14:paraId="694B6F5C">
            <w:pPr>
              <w:widowControl/>
              <w:jc w:val="center"/>
              <w:rPr>
                <w:rFonts w:ascii="宋体" w:hAnsi="宋体"/>
                <w:kern w:val="0"/>
                <w:sz w:val="18"/>
                <w:szCs w:val="18"/>
              </w:rPr>
            </w:pPr>
            <w:r>
              <w:rPr>
                <w:rFonts w:hint="eastAsia" w:ascii="宋体" w:hAnsi="宋体"/>
                <w:kern w:val="0"/>
                <w:sz w:val="18"/>
                <w:szCs w:val="18"/>
              </w:rPr>
              <w:t>523.48</w:t>
            </w:r>
          </w:p>
        </w:tc>
        <w:tc>
          <w:tcPr>
            <w:tcW w:w="892" w:type="dxa"/>
            <w:tcBorders>
              <w:top w:val="nil"/>
              <w:left w:val="nil"/>
              <w:bottom w:val="single" w:color="auto" w:sz="4" w:space="0"/>
              <w:right w:val="single" w:color="auto" w:sz="4" w:space="0"/>
            </w:tcBorders>
            <w:shd w:val="clear" w:color="auto" w:fill="auto"/>
            <w:vAlign w:val="center"/>
          </w:tcPr>
          <w:p w14:paraId="6C3A41A3">
            <w:pPr>
              <w:widowControl/>
              <w:jc w:val="center"/>
              <w:rPr>
                <w:rFonts w:ascii="宋体" w:hAnsi="宋体"/>
                <w:kern w:val="0"/>
                <w:sz w:val="18"/>
                <w:szCs w:val="18"/>
              </w:rPr>
            </w:pPr>
            <w:r>
              <w:rPr>
                <w:rFonts w:hint="eastAsia" w:ascii="宋体" w:hAnsi="宋体"/>
                <w:kern w:val="0"/>
                <w:sz w:val="18"/>
                <w:szCs w:val="18"/>
              </w:rPr>
              <w:t>10.79</w:t>
            </w:r>
          </w:p>
        </w:tc>
        <w:tc>
          <w:tcPr>
            <w:tcW w:w="892" w:type="dxa"/>
            <w:vMerge w:val="continue"/>
            <w:tcBorders>
              <w:top w:val="nil"/>
              <w:left w:val="single" w:color="auto" w:sz="4" w:space="0"/>
              <w:bottom w:val="single" w:color="auto" w:sz="4" w:space="0"/>
              <w:right w:val="single" w:color="auto" w:sz="4" w:space="0"/>
            </w:tcBorders>
            <w:vAlign w:val="center"/>
          </w:tcPr>
          <w:p w14:paraId="08F92878">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38FB9A85">
            <w:pPr>
              <w:widowControl/>
              <w:jc w:val="left"/>
              <w:rPr>
                <w:rFonts w:ascii="宋体" w:hAnsi="宋体"/>
                <w:b/>
                <w:bCs/>
                <w:kern w:val="0"/>
                <w:sz w:val="18"/>
                <w:szCs w:val="18"/>
              </w:rPr>
            </w:pPr>
          </w:p>
        </w:tc>
      </w:tr>
      <w:tr w14:paraId="76563175">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61146E32">
            <w:pPr>
              <w:widowControl/>
              <w:jc w:val="center"/>
              <w:rPr>
                <w:rFonts w:ascii="宋体" w:hAnsi="宋体"/>
                <w:kern w:val="0"/>
                <w:sz w:val="18"/>
                <w:szCs w:val="18"/>
              </w:rPr>
            </w:pPr>
            <w:r>
              <w:rPr>
                <w:rFonts w:hint="eastAsia" w:ascii="宋体" w:hAnsi="宋体"/>
                <w:kern w:val="0"/>
                <w:sz w:val="18"/>
                <w:szCs w:val="18"/>
              </w:rPr>
              <w:t>3</w:t>
            </w:r>
          </w:p>
        </w:tc>
        <w:tc>
          <w:tcPr>
            <w:tcW w:w="3191" w:type="dxa"/>
            <w:tcBorders>
              <w:top w:val="nil"/>
              <w:left w:val="nil"/>
              <w:bottom w:val="single" w:color="auto" w:sz="4" w:space="0"/>
              <w:right w:val="single" w:color="auto" w:sz="4" w:space="0"/>
            </w:tcBorders>
            <w:shd w:val="clear" w:color="auto" w:fill="auto"/>
            <w:vAlign w:val="center"/>
          </w:tcPr>
          <w:p w14:paraId="42B3C0A9">
            <w:pPr>
              <w:widowControl/>
              <w:jc w:val="center"/>
              <w:rPr>
                <w:rFonts w:ascii="宋体" w:hAnsi="宋体"/>
                <w:kern w:val="0"/>
                <w:sz w:val="18"/>
                <w:szCs w:val="18"/>
              </w:rPr>
            </w:pPr>
            <w:r>
              <w:rPr>
                <w:rFonts w:hint="eastAsia" w:ascii="宋体" w:hAnsi="宋体"/>
                <w:kern w:val="0"/>
                <w:sz w:val="18"/>
                <w:szCs w:val="18"/>
              </w:rPr>
              <w:t>G321线K763+000-K764+000路面修复养护</w:t>
            </w:r>
          </w:p>
        </w:tc>
        <w:tc>
          <w:tcPr>
            <w:tcW w:w="848" w:type="dxa"/>
            <w:tcBorders>
              <w:top w:val="nil"/>
              <w:left w:val="nil"/>
              <w:bottom w:val="single" w:color="auto" w:sz="4" w:space="0"/>
              <w:right w:val="single" w:color="auto" w:sz="4" w:space="0"/>
            </w:tcBorders>
            <w:shd w:val="clear" w:color="auto" w:fill="auto"/>
            <w:vAlign w:val="center"/>
          </w:tcPr>
          <w:p w14:paraId="4B4351C5">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40AA1E00">
            <w:pPr>
              <w:widowControl/>
              <w:jc w:val="center"/>
              <w:rPr>
                <w:rFonts w:ascii="宋体" w:hAnsi="宋体"/>
                <w:kern w:val="0"/>
                <w:sz w:val="18"/>
                <w:szCs w:val="18"/>
              </w:rPr>
            </w:pPr>
            <w:r>
              <w:rPr>
                <w:rFonts w:hint="eastAsia" w:ascii="宋体" w:hAnsi="宋体"/>
                <w:kern w:val="0"/>
                <w:sz w:val="18"/>
                <w:szCs w:val="18"/>
              </w:rPr>
              <w:t>763</w:t>
            </w:r>
          </w:p>
        </w:tc>
        <w:tc>
          <w:tcPr>
            <w:tcW w:w="1100" w:type="dxa"/>
            <w:tcBorders>
              <w:top w:val="nil"/>
              <w:left w:val="nil"/>
              <w:bottom w:val="single" w:color="auto" w:sz="4" w:space="0"/>
              <w:right w:val="single" w:color="auto" w:sz="4" w:space="0"/>
            </w:tcBorders>
            <w:shd w:val="clear" w:color="auto" w:fill="auto"/>
            <w:vAlign w:val="center"/>
          </w:tcPr>
          <w:p w14:paraId="565755CF">
            <w:pPr>
              <w:widowControl/>
              <w:jc w:val="center"/>
              <w:rPr>
                <w:rFonts w:ascii="宋体" w:hAnsi="宋体"/>
                <w:kern w:val="0"/>
                <w:sz w:val="18"/>
                <w:szCs w:val="18"/>
              </w:rPr>
            </w:pPr>
            <w:r>
              <w:rPr>
                <w:rFonts w:hint="eastAsia" w:ascii="宋体" w:hAnsi="宋体"/>
                <w:kern w:val="0"/>
                <w:sz w:val="18"/>
                <w:szCs w:val="18"/>
              </w:rPr>
              <w:t>764</w:t>
            </w:r>
          </w:p>
        </w:tc>
        <w:tc>
          <w:tcPr>
            <w:tcW w:w="848" w:type="dxa"/>
            <w:tcBorders>
              <w:top w:val="nil"/>
              <w:left w:val="nil"/>
              <w:bottom w:val="single" w:color="auto" w:sz="4" w:space="0"/>
              <w:right w:val="single" w:color="auto" w:sz="4" w:space="0"/>
            </w:tcBorders>
            <w:shd w:val="clear" w:color="auto" w:fill="auto"/>
            <w:vAlign w:val="center"/>
          </w:tcPr>
          <w:p w14:paraId="45FFEF69">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1A134819">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3D4361C5">
            <w:pPr>
              <w:widowControl/>
              <w:jc w:val="center"/>
              <w:rPr>
                <w:rFonts w:ascii="宋体" w:hAnsi="宋体"/>
                <w:kern w:val="0"/>
                <w:sz w:val="18"/>
                <w:szCs w:val="18"/>
              </w:rPr>
            </w:pPr>
            <w:r>
              <w:rPr>
                <w:rFonts w:hint="eastAsia" w:ascii="宋体" w:hAnsi="宋体"/>
                <w:kern w:val="0"/>
                <w:sz w:val="18"/>
                <w:szCs w:val="18"/>
              </w:rPr>
              <w:t>1</w:t>
            </w:r>
          </w:p>
        </w:tc>
        <w:tc>
          <w:tcPr>
            <w:tcW w:w="848" w:type="dxa"/>
            <w:tcBorders>
              <w:top w:val="nil"/>
              <w:left w:val="nil"/>
              <w:bottom w:val="single" w:color="auto" w:sz="4" w:space="0"/>
              <w:right w:val="single" w:color="auto" w:sz="4" w:space="0"/>
            </w:tcBorders>
            <w:shd w:val="clear" w:color="auto" w:fill="auto"/>
            <w:noWrap/>
            <w:vAlign w:val="center"/>
          </w:tcPr>
          <w:p w14:paraId="14ECCB96">
            <w:pPr>
              <w:widowControl/>
              <w:jc w:val="center"/>
              <w:rPr>
                <w:rFonts w:ascii="宋体" w:hAnsi="宋体"/>
                <w:kern w:val="0"/>
                <w:sz w:val="18"/>
                <w:szCs w:val="18"/>
              </w:rPr>
            </w:pPr>
            <w:r>
              <w:rPr>
                <w:rFonts w:hint="eastAsia" w:ascii="宋体" w:hAnsi="宋体"/>
                <w:kern w:val="0"/>
                <w:sz w:val="18"/>
                <w:szCs w:val="18"/>
              </w:rPr>
              <w:t>8.5</w:t>
            </w:r>
          </w:p>
        </w:tc>
        <w:tc>
          <w:tcPr>
            <w:tcW w:w="848" w:type="dxa"/>
            <w:tcBorders>
              <w:top w:val="nil"/>
              <w:left w:val="nil"/>
              <w:bottom w:val="single" w:color="auto" w:sz="4" w:space="0"/>
              <w:right w:val="single" w:color="auto" w:sz="4" w:space="0"/>
            </w:tcBorders>
            <w:shd w:val="clear" w:color="auto" w:fill="auto"/>
            <w:noWrap/>
            <w:vAlign w:val="center"/>
          </w:tcPr>
          <w:p w14:paraId="20CF4AE1">
            <w:pPr>
              <w:widowControl/>
              <w:jc w:val="center"/>
              <w:rPr>
                <w:rFonts w:ascii="宋体" w:hAnsi="宋体"/>
                <w:kern w:val="0"/>
                <w:sz w:val="18"/>
                <w:szCs w:val="18"/>
              </w:rPr>
            </w:pPr>
            <w:r>
              <w:rPr>
                <w:rFonts w:hint="eastAsia" w:ascii="宋体" w:hAnsi="宋体"/>
                <w:kern w:val="0"/>
                <w:sz w:val="18"/>
                <w:szCs w:val="18"/>
              </w:rPr>
              <w:t>230</w:t>
            </w:r>
          </w:p>
        </w:tc>
        <w:tc>
          <w:tcPr>
            <w:tcW w:w="1304" w:type="dxa"/>
            <w:tcBorders>
              <w:top w:val="nil"/>
              <w:left w:val="nil"/>
              <w:bottom w:val="single" w:color="auto" w:sz="4" w:space="0"/>
              <w:right w:val="single" w:color="auto" w:sz="4" w:space="0"/>
            </w:tcBorders>
            <w:shd w:val="clear" w:color="auto" w:fill="auto"/>
            <w:vAlign w:val="center"/>
          </w:tcPr>
          <w:p w14:paraId="6811F820">
            <w:pPr>
              <w:widowControl/>
              <w:jc w:val="center"/>
              <w:rPr>
                <w:rFonts w:ascii="宋体" w:hAnsi="宋体"/>
                <w:kern w:val="0"/>
                <w:sz w:val="18"/>
                <w:szCs w:val="18"/>
              </w:rPr>
            </w:pPr>
            <w:r>
              <w:rPr>
                <w:rFonts w:hint="eastAsia" w:ascii="宋体" w:hAnsi="宋体"/>
                <w:kern w:val="0"/>
                <w:sz w:val="18"/>
                <w:szCs w:val="18"/>
              </w:rPr>
              <w:t>三江公路养护中心</w:t>
            </w:r>
          </w:p>
        </w:tc>
        <w:tc>
          <w:tcPr>
            <w:tcW w:w="1000" w:type="dxa"/>
            <w:tcBorders>
              <w:top w:val="nil"/>
              <w:left w:val="nil"/>
              <w:bottom w:val="single" w:color="auto" w:sz="4" w:space="0"/>
              <w:right w:val="single" w:color="auto" w:sz="4" w:space="0"/>
            </w:tcBorders>
            <w:shd w:val="clear" w:color="auto" w:fill="auto"/>
            <w:noWrap/>
            <w:vAlign w:val="center"/>
          </w:tcPr>
          <w:p w14:paraId="1CB2D8A3">
            <w:pPr>
              <w:widowControl/>
              <w:jc w:val="center"/>
              <w:rPr>
                <w:rFonts w:ascii="宋体" w:hAnsi="宋体"/>
                <w:kern w:val="0"/>
                <w:sz w:val="18"/>
                <w:szCs w:val="18"/>
              </w:rPr>
            </w:pPr>
            <w:r>
              <w:rPr>
                <w:rFonts w:hint="eastAsia" w:ascii="宋体" w:hAnsi="宋体"/>
                <w:kern w:val="0"/>
                <w:sz w:val="18"/>
                <w:szCs w:val="18"/>
              </w:rPr>
              <w:t>211.6</w:t>
            </w:r>
          </w:p>
        </w:tc>
        <w:tc>
          <w:tcPr>
            <w:tcW w:w="892" w:type="dxa"/>
            <w:tcBorders>
              <w:top w:val="nil"/>
              <w:left w:val="nil"/>
              <w:bottom w:val="single" w:color="auto" w:sz="4" w:space="0"/>
              <w:right w:val="single" w:color="auto" w:sz="4" w:space="0"/>
            </w:tcBorders>
            <w:shd w:val="clear" w:color="auto" w:fill="auto"/>
            <w:vAlign w:val="center"/>
          </w:tcPr>
          <w:p w14:paraId="16508A12">
            <w:pPr>
              <w:widowControl/>
              <w:jc w:val="center"/>
              <w:rPr>
                <w:rFonts w:ascii="宋体" w:hAnsi="宋体"/>
                <w:kern w:val="0"/>
                <w:sz w:val="18"/>
                <w:szCs w:val="18"/>
              </w:rPr>
            </w:pPr>
            <w:r>
              <w:rPr>
                <w:rFonts w:hint="eastAsia" w:ascii="宋体" w:hAnsi="宋体"/>
                <w:kern w:val="0"/>
                <w:sz w:val="18"/>
                <w:szCs w:val="18"/>
              </w:rPr>
              <w:t>5.02</w:t>
            </w:r>
          </w:p>
        </w:tc>
        <w:tc>
          <w:tcPr>
            <w:tcW w:w="892" w:type="dxa"/>
            <w:vMerge w:val="continue"/>
            <w:tcBorders>
              <w:top w:val="nil"/>
              <w:left w:val="single" w:color="auto" w:sz="4" w:space="0"/>
              <w:bottom w:val="single" w:color="auto" w:sz="4" w:space="0"/>
              <w:right w:val="single" w:color="auto" w:sz="4" w:space="0"/>
            </w:tcBorders>
            <w:vAlign w:val="center"/>
          </w:tcPr>
          <w:p w14:paraId="3B287A1A">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23145DE1">
            <w:pPr>
              <w:widowControl/>
              <w:jc w:val="left"/>
              <w:rPr>
                <w:rFonts w:ascii="宋体" w:hAnsi="宋体"/>
                <w:b/>
                <w:bCs/>
                <w:kern w:val="0"/>
                <w:sz w:val="18"/>
                <w:szCs w:val="18"/>
              </w:rPr>
            </w:pPr>
          </w:p>
        </w:tc>
      </w:tr>
      <w:tr w14:paraId="0155415A">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13F9DEB4">
            <w:pPr>
              <w:widowControl/>
              <w:jc w:val="center"/>
              <w:rPr>
                <w:rFonts w:ascii="宋体" w:hAnsi="宋体"/>
                <w:kern w:val="0"/>
                <w:sz w:val="18"/>
                <w:szCs w:val="18"/>
              </w:rPr>
            </w:pPr>
            <w:r>
              <w:rPr>
                <w:rFonts w:hint="eastAsia" w:ascii="宋体" w:hAnsi="宋体"/>
                <w:kern w:val="0"/>
                <w:sz w:val="18"/>
                <w:szCs w:val="18"/>
              </w:rPr>
              <w:t>4</w:t>
            </w:r>
          </w:p>
        </w:tc>
        <w:tc>
          <w:tcPr>
            <w:tcW w:w="3191" w:type="dxa"/>
            <w:tcBorders>
              <w:top w:val="nil"/>
              <w:left w:val="nil"/>
              <w:bottom w:val="single" w:color="auto" w:sz="4" w:space="0"/>
              <w:right w:val="single" w:color="auto" w:sz="4" w:space="0"/>
            </w:tcBorders>
            <w:shd w:val="clear" w:color="auto" w:fill="auto"/>
            <w:vAlign w:val="center"/>
          </w:tcPr>
          <w:p w14:paraId="286D0E65">
            <w:pPr>
              <w:widowControl/>
              <w:jc w:val="center"/>
              <w:rPr>
                <w:rFonts w:ascii="宋体" w:hAnsi="宋体"/>
                <w:kern w:val="0"/>
                <w:sz w:val="18"/>
                <w:szCs w:val="18"/>
              </w:rPr>
            </w:pPr>
            <w:r>
              <w:rPr>
                <w:rFonts w:hint="eastAsia" w:ascii="宋体" w:hAnsi="宋体"/>
                <w:kern w:val="0"/>
                <w:sz w:val="18"/>
                <w:szCs w:val="18"/>
              </w:rPr>
              <w:t>G322线K1976+000-K1978+000路面修复养护</w:t>
            </w:r>
          </w:p>
        </w:tc>
        <w:tc>
          <w:tcPr>
            <w:tcW w:w="848" w:type="dxa"/>
            <w:tcBorders>
              <w:top w:val="nil"/>
              <w:left w:val="nil"/>
              <w:bottom w:val="single" w:color="auto" w:sz="4" w:space="0"/>
              <w:right w:val="single" w:color="auto" w:sz="4" w:space="0"/>
            </w:tcBorders>
            <w:shd w:val="clear" w:color="auto" w:fill="auto"/>
            <w:vAlign w:val="center"/>
          </w:tcPr>
          <w:p w14:paraId="2294B3FB">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4A2383AE">
            <w:pPr>
              <w:widowControl/>
              <w:jc w:val="center"/>
              <w:rPr>
                <w:rFonts w:ascii="宋体" w:hAnsi="宋体"/>
                <w:kern w:val="0"/>
                <w:sz w:val="18"/>
                <w:szCs w:val="18"/>
              </w:rPr>
            </w:pPr>
            <w:r>
              <w:rPr>
                <w:rFonts w:hint="eastAsia" w:ascii="宋体" w:hAnsi="宋体"/>
                <w:kern w:val="0"/>
                <w:sz w:val="18"/>
                <w:szCs w:val="18"/>
              </w:rPr>
              <w:t>1976</w:t>
            </w:r>
          </w:p>
        </w:tc>
        <w:tc>
          <w:tcPr>
            <w:tcW w:w="1100" w:type="dxa"/>
            <w:tcBorders>
              <w:top w:val="nil"/>
              <w:left w:val="nil"/>
              <w:bottom w:val="single" w:color="auto" w:sz="4" w:space="0"/>
              <w:right w:val="single" w:color="auto" w:sz="4" w:space="0"/>
            </w:tcBorders>
            <w:shd w:val="clear" w:color="auto" w:fill="auto"/>
            <w:vAlign w:val="center"/>
          </w:tcPr>
          <w:p w14:paraId="404F867A">
            <w:pPr>
              <w:widowControl/>
              <w:jc w:val="center"/>
              <w:rPr>
                <w:rFonts w:ascii="宋体" w:hAnsi="宋体"/>
                <w:kern w:val="0"/>
                <w:sz w:val="18"/>
                <w:szCs w:val="18"/>
              </w:rPr>
            </w:pPr>
            <w:r>
              <w:rPr>
                <w:rFonts w:hint="eastAsia" w:ascii="宋体" w:hAnsi="宋体"/>
                <w:kern w:val="0"/>
                <w:sz w:val="18"/>
                <w:szCs w:val="18"/>
              </w:rPr>
              <w:t>1978</w:t>
            </w:r>
          </w:p>
        </w:tc>
        <w:tc>
          <w:tcPr>
            <w:tcW w:w="848" w:type="dxa"/>
            <w:tcBorders>
              <w:top w:val="nil"/>
              <w:left w:val="nil"/>
              <w:bottom w:val="single" w:color="auto" w:sz="4" w:space="0"/>
              <w:right w:val="single" w:color="auto" w:sz="4" w:space="0"/>
            </w:tcBorders>
            <w:shd w:val="clear" w:color="auto" w:fill="auto"/>
            <w:vAlign w:val="center"/>
          </w:tcPr>
          <w:p w14:paraId="7B26727A">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75563D96">
            <w:pPr>
              <w:widowControl/>
              <w:jc w:val="center"/>
              <w:rPr>
                <w:rFonts w:ascii="宋体" w:hAnsi="宋体"/>
                <w:kern w:val="0"/>
                <w:sz w:val="18"/>
                <w:szCs w:val="18"/>
              </w:rPr>
            </w:pPr>
            <w:r>
              <w:rPr>
                <w:rFonts w:hint="eastAsia" w:ascii="宋体" w:hAnsi="宋体"/>
                <w:kern w:val="0"/>
                <w:sz w:val="18"/>
                <w:szCs w:val="18"/>
              </w:rPr>
              <w:t>沥青</w:t>
            </w:r>
          </w:p>
        </w:tc>
        <w:tc>
          <w:tcPr>
            <w:tcW w:w="888" w:type="dxa"/>
            <w:tcBorders>
              <w:top w:val="nil"/>
              <w:left w:val="nil"/>
              <w:bottom w:val="single" w:color="auto" w:sz="4" w:space="0"/>
              <w:right w:val="single" w:color="auto" w:sz="4" w:space="0"/>
            </w:tcBorders>
            <w:shd w:val="clear" w:color="auto" w:fill="auto"/>
            <w:vAlign w:val="center"/>
          </w:tcPr>
          <w:p w14:paraId="62C20478">
            <w:pPr>
              <w:widowControl/>
              <w:jc w:val="center"/>
              <w:rPr>
                <w:rFonts w:ascii="宋体" w:hAnsi="宋体"/>
                <w:kern w:val="0"/>
                <w:sz w:val="18"/>
                <w:szCs w:val="18"/>
              </w:rPr>
            </w:pPr>
            <w:r>
              <w:rPr>
                <w:rFonts w:hint="eastAsia" w:ascii="宋体" w:hAnsi="宋体"/>
                <w:kern w:val="0"/>
                <w:sz w:val="18"/>
                <w:szCs w:val="18"/>
              </w:rPr>
              <w:t>2</w:t>
            </w:r>
          </w:p>
        </w:tc>
        <w:tc>
          <w:tcPr>
            <w:tcW w:w="848" w:type="dxa"/>
            <w:tcBorders>
              <w:top w:val="nil"/>
              <w:left w:val="nil"/>
              <w:bottom w:val="single" w:color="auto" w:sz="4" w:space="0"/>
              <w:right w:val="single" w:color="auto" w:sz="4" w:space="0"/>
            </w:tcBorders>
            <w:shd w:val="clear" w:color="auto" w:fill="auto"/>
            <w:noWrap/>
            <w:vAlign w:val="center"/>
          </w:tcPr>
          <w:p w14:paraId="2C718A07">
            <w:pPr>
              <w:widowControl/>
              <w:jc w:val="center"/>
              <w:rPr>
                <w:rFonts w:ascii="宋体" w:hAnsi="宋体"/>
                <w:kern w:val="0"/>
                <w:sz w:val="18"/>
                <w:szCs w:val="18"/>
              </w:rPr>
            </w:pPr>
            <w:r>
              <w:rPr>
                <w:rFonts w:hint="eastAsia" w:ascii="宋体" w:hAnsi="宋体"/>
                <w:kern w:val="0"/>
                <w:sz w:val="18"/>
                <w:szCs w:val="18"/>
              </w:rPr>
              <w:t>9</w:t>
            </w:r>
          </w:p>
        </w:tc>
        <w:tc>
          <w:tcPr>
            <w:tcW w:w="848" w:type="dxa"/>
            <w:tcBorders>
              <w:top w:val="nil"/>
              <w:left w:val="nil"/>
              <w:bottom w:val="single" w:color="auto" w:sz="4" w:space="0"/>
              <w:right w:val="single" w:color="auto" w:sz="4" w:space="0"/>
            </w:tcBorders>
            <w:shd w:val="clear" w:color="auto" w:fill="auto"/>
            <w:noWrap/>
            <w:vAlign w:val="center"/>
          </w:tcPr>
          <w:p w14:paraId="567EEA91">
            <w:pPr>
              <w:widowControl/>
              <w:jc w:val="center"/>
              <w:rPr>
                <w:rFonts w:ascii="宋体" w:hAnsi="宋体"/>
                <w:kern w:val="0"/>
                <w:sz w:val="18"/>
                <w:szCs w:val="18"/>
              </w:rPr>
            </w:pPr>
            <w:r>
              <w:rPr>
                <w:rFonts w:hint="eastAsia" w:ascii="宋体" w:hAnsi="宋体"/>
                <w:kern w:val="0"/>
                <w:sz w:val="18"/>
                <w:szCs w:val="18"/>
              </w:rPr>
              <w:t>375</w:t>
            </w:r>
          </w:p>
        </w:tc>
        <w:tc>
          <w:tcPr>
            <w:tcW w:w="1304" w:type="dxa"/>
            <w:tcBorders>
              <w:top w:val="nil"/>
              <w:left w:val="nil"/>
              <w:bottom w:val="single" w:color="auto" w:sz="4" w:space="0"/>
              <w:right w:val="single" w:color="auto" w:sz="4" w:space="0"/>
            </w:tcBorders>
            <w:shd w:val="clear" w:color="auto" w:fill="auto"/>
            <w:vAlign w:val="center"/>
          </w:tcPr>
          <w:p w14:paraId="5CFFD0E1">
            <w:pPr>
              <w:widowControl/>
              <w:jc w:val="center"/>
              <w:rPr>
                <w:rFonts w:ascii="宋体" w:hAnsi="宋体"/>
                <w:kern w:val="0"/>
                <w:sz w:val="18"/>
                <w:szCs w:val="18"/>
              </w:rPr>
            </w:pPr>
            <w:r>
              <w:rPr>
                <w:rFonts w:hint="eastAsia" w:ascii="宋体" w:hAnsi="宋体"/>
                <w:kern w:val="0"/>
                <w:sz w:val="18"/>
                <w:szCs w:val="18"/>
              </w:rPr>
              <w:t>兴宾公路养护中心</w:t>
            </w:r>
          </w:p>
        </w:tc>
        <w:tc>
          <w:tcPr>
            <w:tcW w:w="1000" w:type="dxa"/>
            <w:tcBorders>
              <w:top w:val="nil"/>
              <w:left w:val="nil"/>
              <w:bottom w:val="single" w:color="auto" w:sz="4" w:space="0"/>
              <w:right w:val="single" w:color="auto" w:sz="4" w:space="0"/>
            </w:tcBorders>
            <w:shd w:val="clear" w:color="auto" w:fill="auto"/>
            <w:noWrap/>
            <w:vAlign w:val="center"/>
          </w:tcPr>
          <w:p w14:paraId="6F84889C">
            <w:pPr>
              <w:widowControl/>
              <w:jc w:val="center"/>
              <w:rPr>
                <w:rFonts w:ascii="宋体" w:hAnsi="宋体"/>
                <w:kern w:val="0"/>
                <w:sz w:val="18"/>
                <w:szCs w:val="18"/>
              </w:rPr>
            </w:pPr>
            <w:r>
              <w:rPr>
                <w:rFonts w:hint="eastAsia" w:ascii="宋体" w:hAnsi="宋体"/>
                <w:kern w:val="0"/>
                <w:sz w:val="18"/>
                <w:szCs w:val="18"/>
              </w:rPr>
              <w:t>345</w:t>
            </w:r>
          </w:p>
        </w:tc>
        <w:tc>
          <w:tcPr>
            <w:tcW w:w="892" w:type="dxa"/>
            <w:tcBorders>
              <w:top w:val="nil"/>
              <w:left w:val="nil"/>
              <w:bottom w:val="single" w:color="auto" w:sz="4" w:space="0"/>
              <w:right w:val="single" w:color="auto" w:sz="4" w:space="0"/>
            </w:tcBorders>
            <w:shd w:val="clear" w:color="auto" w:fill="auto"/>
            <w:vAlign w:val="center"/>
          </w:tcPr>
          <w:p w14:paraId="77F96402">
            <w:pPr>
              <w:widowControl/>
              <w:jc w:val="center"/>
              <w:rPr>
                <w:rFonts w:ascii="宋体" w:hAnsi="宋体"/>
                <w:kern w:val="0"/>
                <w:sz w:val="18"/>
                <w:szCs w:val="18"/>
              </w:rPr>
            </w:pPr>
            <w:r>
              <w:rPr>
                <w:rFonts w:hint="eastAsia" w:ascii="宋体" w:hAnsi="宋体"/>
                <w:kern w:val="0"/>
                <w:sz w:val="18"/>
                <w:szCs w:val="18"/>
              </w:rPr>
              <w:t>7.53</w:t>
            </w:r>
          </w:p>
        </w:tc>
        <w:tc>
          <w:tcPr>
            <w:tcW w:w="892" w:type="dxa"/>
            <w:vMerge w:val="continue"/>
            <w:tcBorders>
              <w:top w:val="nil"/>
              <w:left w:val="single" w:color="auto" w:sz="4" w:space="0"/>
              <w:bottom w:val="single" w:color="auto" w:sz="4" w:space="0"/>
              <w:right w:val="single" w:color="auto" w:sz="4" w:space="0"/>
            </w:tcBorders>
            <w:vAlign w:val="center"/>
          </w:tcPr>
          <w:p w14:paraId="3C158591">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2C55B983">
            <w:pPr>
              <w:widowControl/>
              <w:jc w:val="left"/>
              <w:rPr>
                <w:rFonts w:ascii="宋体" w:hAnsi="宋体"/>
                <w:b/>
                <w:bCs/>
                <w:kern w:val="0"/>
                <w:sz w:val="18"/>
                <w:szCs w:val="18"/>
              </w:rPr>
            </w:pPr>
          </w:p>
        </w:tc>
      </w:tr>
      <w:tr w14:paraId="7D9D5D12">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230F06E8">
            <w:pPr>
              <w:widowControl/>
              <w:jc w:val="center"/>
              <w:rPr>
                <w:rFonts w:ascii="宋体" w:hAnsi="宋体"/>
                <w:kern w:val="0"/>
                <w:sz w:val="18"/>
                <w:szCs w:val="18"/>
              </w:rPr>
            </w:pPr>
            <w:r>
              <w:rPr>
                <w:rFonts w:hint="eastAsia" w:ascii="宋体" w:hAnsi="宋体"/>
                <w:kern w:val="0"/>
                <w:sz w:val="18"/>
                <w:szCs w:val="18"/>
              </w:rPr>
              <w:t>5</w:t>
            </w:r>
          </w:p>
        </w:tc>
        <w:tc>
          <w:tcPr>
            <w:tcW w:w="3191" w:type="dxa"/>
            <w:tcBorders>
              <w:top w:val="nil"/>
              <w:left w:val="nil"/>
              <w:bottom w:val="single" w:color="auto" w:sz="4" w:space="0"/>
              <w:right w:val="single" w:color="auto" w:sz="4" w:space="0"/>
            </w:tcBorders>
            <w:shd w:val="clear" w:color="auto" w:fill="auto"/>
            <w:vAlign w:val="center"/>
          </w:tcPr>
          <w:p w14:paraId="6BC80382">
            <w:pPr>
              <w:widowControl/>
              <w:jc w:val="center"/>
              <w:rPr>
                <w:rFonts w:ascii="宋体" w:hAnsi="宋体"/>
                <w:kern w:val="0"/>
                <w:sz w:val="18"/>
                <w:szCs w:val="18"/>
              </w:rPr>
            </w:pPr>
            <w:r>
              <w:rPr>
                <w:rFonts w:hint="eastAsia" w:ascii="宋体" w:hAnsi="宋体"/>
                <w:kern w:val="0"/>
                <w:sz w:val="18"/>
                <w:szCs w:val="18"/>
              </w:rPr>
              <w:t>G322线K1982+000-K1983+000路面修复养护</w:t>
            </w:r>
          </w:p>
        </w:tc>
        <w:tc>
          <w:tcPr>
            <w:tcW w:w="848" w:type="dxa"/>
            <w:tcBorders>
              <w:top w:val="nil"/>
              <w:left w:val="nil"/>
              <w:bottom w:val="single" w:color="auto" w:sz="4" w:space="0"/>
              <w:right w:val="single" w:color="auto" w:sz="4" w:space="0"/>
            </w:tcBorders>
            <w:shd w:val="clear" w:color="auto" w:fill="auto"/>
            <w:vAlign w:val="center"/>
          </w:tcPr>
          <w:p w14:paraId="156DF272">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2B36F73B">
            <w:pPr>
              <w:widowControl/>
              <w:jc w:val="center"/>
              <w:rPr>
                <w:rFonts w:ascii="宋体" w:hAnsi="宋体"/>
                <w:kern w:val="0"/>
                <w:sz w:val="18"/>
                <w:szCs w:val="18"/>
              </w:rPr>
            </w:pPr>
            <w:r>
              <w:rPr>
                <w:rFonts w:hint="eastAsia" w:ascii="宋体" w:hAnsi="宋体"/>
                <w:kern w:val="0"/>
                <w:sz w:val="18"/>
                <w:szCs w:val="18"/>
              </w:rPr>
              <w:t>1982</w:t>
            </w:r>
          </w:p>
        </w:tc>
        <w:tc>
          <w:tcPr>
            <w:tcW w:w="1100" w:type="dxa"/>
            <w:tcBorders>
              <w:top w:val="nil"/>
              <w:left w:val="nil"/>
              <w:bottom w:val="single" w:color="auto" w:sz="4" w:space="0"/>
              <w:right w:val="single" w:color="auto" w:sz="4" w:space="0"/>
            </w:tcBorders>
            <w:shd w:val="clear" w:color="auto" w:fill="auto"/>
            <w:vAlign w:val="center"/>
          </w:tcPr>
          <w:p w14:paraId="0FE366CA">
            <w:pPr>
              <w:widowControl/>
              <w:jc w:val="center"/>
              <w:rPr>
                <w:rFonts w:ascii="宋体" w:hAnsi="宋体"/>
                <w:kern w:val="0"/>
                <w:sz w:val="18"/>
                <w:szCs w:val="18"/>
              </w:rPr>
            </w:pPr>
            <w:r>
              <w:rPr>
                <w:rFonts w:hint="eastAsia" w:ascii="宋体" w:hAnsi="宋体"/>
                <w:kern w:val="0"/>
                <w:sz w:val="18"/>
                <w:szCs w:val="18"/>
              </w:rPr>
              <w:t>1983</w:t>
            </w:r>
          </w:p>
        </w:tc>
        <w:tc>
          <w:tcPr>
            <w:tcW w:w="848" w:type="dxa"/>
            <w:tcBorders>
              <w:top w:val="nil"/>
              <w:left w:val="nil"/>
              <w:bottom w:val="single" w:color="auto" w:sz="4" w:space="0"/>
              <w:right w:val="single" w:color="auto" w:sz="4" w:space="0"/>
            </w:tcBorders>
            <w:shd w:val="clear" w:color="auto" w:fill="auto"/>
            <w:vAlign w:val="center"/>
          </w:tcPr>
          <w:p w14:paraId="489659CE">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542002EA">
            <w:pPr>
              <w:widowControl/>
              <w:jc w:val="center"/>
              <w:rPr>
                <w:rFonts w:ascii="宋体" w:hAnsi="宋体"/>
                <w:kern w:val="0"/>
                <w:sz w:val="18"/>
                <w:szCs w:val="18"/>
              </w:rPr>
            </w:pPr>
            <w:r>
              <w:rPr>
                <w:rFonts w:hint="eastAsia" w:ascii="宋体" w:hAnsi="宋体"/>
                <w:kern w:val="0"/>
                <w:sz w:val="18"/>
                <w:szCs w:val="18"/>
              </w:rPr>
              <w:t>沥青</w:t>
            </w:r>
          </w:p>
        </w:tc>
        <w:tc>
          <w:tcPr>
            <w:tcW w:w="888" w:type="dxa"/>
            <w:tcBorders>
              <w:top w:val="nil"/>
              <w:left w:val="nil"/>
              <w:bottom w:val="single" w:color="auto" w:sz="4" w:space="0"/>
              <w:right w:val="single" w:color="auto" w:sz="4" w:space="0"/>
            </w:tcBorders>
            <w:shd w:val="clear" w:color="auto" w:fill="auto"/>
            <w:vAlign w:val="center"/>
          </w:tcPr>
          <w:p w14:paraId="654A18AA">
            <w:pPr>
              <w:widowControl/>
              <w:jc w:val="center"/>
              <w:rPr>
                <w:rFonts w:ascii="宋体" w:hAnsi="宋体"/>
                <w:kern w:val="0"/>
                <w:sz w:val="18"/>
                <w:szCs w:val="18"/>
              </w:rPr>
            </w:pPr>
            <w:r>
              <w:rPr>
                <w:rFonts w:hint="eastAsia" w:ascii="宋体" w:hAnsi="宋体"/>
                <w:kern w:val="0"/>
                <w:sz w:val="18"/>
                <w:szCs w:val="18"/>
              </w:rPr>
              <w:t>1</w:t>
            </w:r>
          </w:p>
        </w:tc>
        <w:tc>
          <w:tcPr>
            <w:tcW w:w="848" w:type="dxa"/>
            <w:tcBorders>
              <w:top w:val="nil"/>
              <w:left w:val="nil"/>
              <w:bottom w:val="single" w:color="auto" w:sz="4" w:space="0"/>
              <w:right w:val="single" w:color="auto" w:sz="4" w:space="0"/>
            </w:tcBorders>
            <w:shd w:val="clear" w:color="auto" w:fill="auto"/>
            <w:noWrap/>
            <w:vAlign w:val="center"/>
          </w:tcPr>
          <w:p w14:paraId="690A99BC">
            <w:pPr>
              <w:widowControl/>
              <w:jc w:val="center"/>
              <w:rPr>
                <w:rFonts w:ascii="宋体" w:hAnsi="宋体"/>
                <w:kern w:val="0"/>
                <w:sz w:val="18"/>
                <w:szCs w:val="18"/>
              </w:rPr>
            </w:pPr>
            <w:r>
              <w:rPr>
                <w:rFonts w:hint="eastAsia" w:ascii="宋体" w:hAnsi="宋体"/>
                <w:kern w:val="0"/>
                <w:sz w:val="18"/>
                <w:szCs w:val="18"/>
              </w:rPr>
              <w:t>9</w:t>
            </w:r>
          </w:p>
        </w:tc>
        <w:tc>
          <w:tcPr>
            <w:tcW w:w="848" w:type="dxa"/>
            <w:tcBorders>
              <w:top w:val="nil"/>
              <w:left w:val="nil"/>
              <w:bottom w:val="single" w:color="auto" w:sz="4" w:space="0"/>
              <w:right w:val="single" w:color="auto" w:sz="4" w:space="0"/>
            </w:tcBorders>
            <w:shd w:val="clear" w:color="auto" w:fill="auto"/>
            <w:noWrap/>
            <w:vAlign w:val="center"/>
          </w:tcPr>
          <w:p w14:paraId="042F7916">
            <w:pPr>
              <w:widowControl/>
              <w:jc w:val="center"/>
              <w:rPr>
                <w:rFonts w:ascii="宋体" w:hAnsi="宋体"/>
                <w:kern w:val="0"/>
                <w:sz w:val="18"/>
                <w:szCs w:val="18"/>
              </w:rPr>
            </w:pPr>
            <w:r>
              <w:rPr>
                <w:rFonts w:hint="eastAsia" w:ascii="宋体" w:hAnsi="宋体"/>
                <w:kern w:val="0"/>
                <w:sz w:val="18"/>
                <w:szCs w:val="18"/>
              </w:rPr>
              <w:t>188</w:t>
            </w:r>
          </w:p>
        </w:tc>
        <w:tc>
          <w:tcPr>
            <w:tcW w:w="1304" w:type="dxa"/>
            <w:tcBorders>
              <w:top w:val="nil"/>
              <w:left w:val="nil"/>
              <w:bottom w:val="single" w:color="auto" w:sz="4" w:space="0"/>
              <w:right w:val="single" w:color="auto" w:sz="4" w:space="0"/>
            </w:tcBorders>
            <w:shd w:val="clear" w:color="auto" w:fill="auto"/>
            <w:vAlign w:val="center"/>
          </w:tcPr>
          <w:p w14:paraId="42F96C1F">
            <w:pPr>
              <w:widowControl/>
              <w:jc w:val="center"/>
              <w:rPr>
                <w:rFonts w:ascii="宋体" w:hAnsi="宋体"/>
                <w:kern w:val="0"/>
                <w:sz w:val="18"/>
                <w:szCs w:val="18"/>
              </w:rPr>
            </w:pPr>
            <w:r>
              <w:rPr>
                <w:rFonts w:hint="eastAsia" w:ascii="宋体" w:hAnsi="宋体"/>
                <w:kern w:val="0"/>
                <w:sz w:val="18"/>
                <w:szCs w:val="18"/>
              </w:rPr>
              <w:t>兴宾公路养护中心</w:t>
            </w:r>
          </w:p>
        </w:tc>
        <w:tc>
          <w:tcPr>
            <w:tcW w:w="1000" w:type="dxa"/>
            <w:tcBorders>
              <w:top w:val="nil"/>
              <w:left w:val="nil"/>
              <w:bottom w:val="single" w:color="auto" w:sz="4" w:space="0"/>
              <w:right w:val="single" w:color="auto" w:sz="4" w:space="0"/>
            </w:tcBorders>
            <w:shd w:val="clear" w:color="auto" w:fill="auto"/>
            <w:noWrap/>
            <w:vAlign w:val="center"/>
          </w:tcPr>
          <w:p w14:paraId="3F7ED537">
            <w:pPr>
              <w:widowControl/>
              <w:jc w:val="center"/>
              <w:rPr>
                <w:rFonts w:ascii="宋体" w:hAnsi="宋体"/>
                <w:kern w:val="0"/>
                <w:sz w:val="18"/>
                <w:szCs w:val="18"/>
              </w:rPr>
            </w:pPr>
            <w:r>
              <w:rPr>
                <w:rFonts w:hint="eastAsia" w:ascii="宋体" w:hAnsi="宋体"/>
                <w:kern w:val="0"/>
                <w:sz w:val="18"/>
                <w:szCs w:val="18"/>
              </w:rPr>
              <w:t>172.96</w:t>
            </w:r>
          </w:p>
        </w:tc>
        <w:tc>
          <w:tcPr>
            <w:tcW w:w="892" w:type="dxa"/>
            <w:tcBorders>
              <w:top w:val="nil"/>
              <w:left w:val="nil"/>
              <w:bottom w:val="single" w:color="auto" w:sz="4" w:space="0"/>
              <w:right w:val="single" w:color="auto" w:sz="4" w:space="0"/>
            </w:tcBorders>
            <w:shd w:val="clear" w:color="auto" w:fill="auto"/>
            <w:vAlign w:val="center"/>
          </w:tcPr>
          <w:p w14:paraId="4DB6FD20">
            <w:pPr>
              <w:widowControl/>
              <w:jc w:val="center"/>
              <w:rPr>
                <w:rFonts w:ascii="宋体" w:hAnsi="宋体"/>
                <w:kern w:val="0"/>
                <w:sz w:val="18"/>
                <w:szCs w:val="18"/>
              </w:rPr>
            </w:pPr>
            <w:r>
              <w:rPr>
                <w:rFonts w:hint="eastAsia" w:ascii="宋体" w:hAnsi="宋体"/>
                <w:kern w:val="0"/>
                <w:sz w:val="18"/>
                <w:szCs w:val="18"/>
              </w:rPr>
              <w:t>4.26</w:t>
            </w:r>
          </w:p>
        </w:tc>
        <w:tc>
          <w:tcPr>
            <w:tcW w:w="892" w:type="dxa"/>
            <w:vMerge w:val="continue"/>
            <w:tcBorders>
              <w:top w:val="nil"/>
              <w:left w:val="single" w:color="auto" w:sz="4" w:space="0"/>
              <w:bottom w:val="single" w:color="auto" w:sz="4" w:space="0"/>
              <w:right w:val="single" w:color="auto" w:sz="4" w:space="0"/>
            </w:tcBorders>
            <w:vAlign w:val="center"/>
          </w:tcPr>
          <w:p w14:paraId="4F34AFD7">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2400C766">
            <w:pPr>
              <w:widowControl/>
              <w:jc w:val="left"/>
              <w:rPr>
                <w:rFonts w:ascii="宋体" w:hAnsi="宋体"/>
                <w:b/>
                <w:bCs/>
                <w:kern w:val="0"/>
                <w:sz w:val="18"/>
                <w:szCs w:val="18"/>
              </w:rPr>
            </w:pPr>
          </w:p>
        </w:tc>
      </w:tr>
      <w:tr w14:paraId="581E0DF2">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18986D54">
            <w:pPr>
              <w:widowControl/>
              <w:jc w:val="left"/>
              <w:rPr>
                <w:rFonts w:cs="Calibri"/>
                <w:kern w:val="0"/>
                <w:sz w:val="18"/>
                <w:szCs w:val="18"/>
              </w:rPr>
            </w:pPr>
            <w:r>
              <w:rPr>
                <w:rFonts w:cs="Calibri"/>
                <w:kern w:val="0"/>
                <w:sz w:val="18"/>
                <w:szCs w:val="18"/>
              </w:rPr>
              <w:t>　</w:t>
            </w:r>
          </w:p>
        </w:tc>
        <w:tc>
          <w:tcPr>
            <w:tcW w:w="3191" w:type="dxa"/>
            <w:tcBorders>
              <w:top w:val="nil"/>
              <w:left w:val="nil"/>
              <w:bottom w:val="single" w:color="auto" w:sz="4" w:space="0"/>
              <w:right w:val="single" w:color="auto" w:sz="4" w:space="0"/>
            </w:tcBorders>
            <w:shd w:val="clear" w:color="auto" w:fill="auto"/>
            <w:vAlign w:val="center"/>
          </w:tcPr>
          <w:p w14:paraId="5531673C">
            <w:pPr>
              <w:widowControl/>
              <w:jc w:val="center"/>
              <w:rPr>
                <w:rFonts w:ascii="宋体" w:hAnsi="宋体"/>
                <w:b/>
                <w:bCs/>
                <w:kern w:val="0"/>
                <w:sz w:val="18"/>
                <w:szCs w:val="18"/>
              </w:rPr>
            </w:pPr>
            <w:r>
              <w:rPr>
                <w:rFonts w:hint="eastAsia" w:ascii="宋体" w:hAnsi="宋体"/>
                <w:b/>
                <w:bCs/>
                <w:kern w:val="0"/>
                <w:sz w:val="18"/>
                <w:szCs w:val="18"/>
              </w:rPr>
              <w:t>NO.A标段合计</w:t>
            </w:r>
          </w:p>
        </w:tc>
        <w:tc>
          <w:tcPr>
            <w:tcW w:w="848" w:type="dxa"/>
            <w:tcBorders>
              <w:top w:val="nil"/>
              <w:left w:val="nil"/>
              <w:bottom w:val="single" w:color="auto" w:sz="4" w:space="0"/>
              <w:right w:val="single" w:color="auto" w:sz="4" w:space="0"/>
            </w:tcBorders>
            <w:shd w:val="clear" w:color="auto" w:fill="auto"/>
            <w:vAlign w:val="center"/>
          </w:tcPr>
          <w:p w14:paraId="10B3DC4A">
            <w:pPr>
              <w:widowControl/>
              <w:jc w:val="left"/>
              <w:rPr>
                <w:rFonts w:cs="Calibri"/>
                <w:kern w:val="0"/>
                <w:sz w:val="18"/>
                <w:szCs w:val="18"/>
              </w:rPr>
            </w:pPr>
            <w:r>
              <w:rPr>
                <w:rFonts w:cs="Calibri"/>
                <w:kern w:val="0"/>
                <w:sz w:val="18"/>
                <w:szCs w:val="18"/>
              </w:rPr>
              <w:t>　</w:t>
            </w:r>
          </w:p>
        </w:tc>
        <w:tc>
          <w:tcPr>
            <w:tcW w:w="1100" w:type="dxa"/>
            <w:tcBorders>
              <w:top w:val="nil"/>
              <w:left w:val="nil"/>
              <w:bottom w:val="single" w:color="auto" w:sz="4" w:space="0"/>
              <w:right w:val="single" w:color="auto" w:sz="4" w:space="0"/>
            </w:tcBorders>
            <w:shd w:val="clear" w:color="auto" w:fill="auto"/>
            <w:vAlign w:val="center"/>
          </w:tcPr>
          <w:p w14:paraId="2316E99D">
            <w:pPr>
              <w:widowControl/>
              <w:jc w:val="left"/>
              <w:rPr>
                <w:rFonts w:cs="Calibri"/>
                <w:kern w:val="0"/>
                <w:sz w:val="18"/>
                <w:szCs w:val="18"/>
              </w:rPr>
            </w:pPr>
            <w:r>
              <w:rPr>
                <w:rFonts w:cs="Calibri"/>
                <w:kern w:val="0"/>
                <w:sz w:val="18"/>
                <w:szCs w:val="18"/>
              </w:rPr>
              <w:t>　</w:t>
            </w:r>
          </w:p>
        </w:tc>
        <w:tc>
          <w:tcPr>
            <w:tcW w:w="1100" w:type="dxa"/>
            <w:tcBorders>
              <w:top w:val="nil"/>
              <w:left w:val="nil"/>
              <w:bottom w:val="single" w:color="auto" w:sz="4" w:space="0"/>
              <w:right w:val="single" w:color="auto" w:sz="4" w:space="0"/>
            </w:tcBorders>
            <w:shd w:val="clear" w:color="auto" w:fill="auto"/>
            <w:vAlign w:val="center"/>
          </w:tcPr>
          <w:p w14:paraId="788FF846">
            <w:pPr>
              <w:widowControl/>
              <w:jc w:val="left"/>
              <w:rPr>
                <w:rFonts w:cs="Calibri"/>
                <w:kern w:val="0"/>
                <w:sz w:val="18"/>
                <w:szCs w:val="18"/>
              </w:rPr>
            </w:pPr>
            <w:r>
              <w:rPr>
                <w:rFonts w:cs="Calibri"/>
                <w:kern w:val="0"/>
                <w:sz w:val="18"/>
                <w:szCs w:val="18"/>
              </w:rPr>
              <w:t>　</w:t>
            </w:r>
          </w:p>
        </w:tc>
        <w:tc>
          <w:tcPr>
            <w:tcW w:w="848" w:type="dxa"/>
            <w:tcBorders>
              <w:top w:val="nil"/>
              <w:left w:val="nil"/>
              <w:bottom w:val="single" w:color="auto" w:sz="4" w:space="0"/>
              <w:right w:val="single" w:color="auto" w:sz="4" w:space="0"/>
            </w:tcBorders>
            <w:shd w:val="clear" w:color="auto" w:fill="auto"/>
            <w:vAlign w:val="center"/>
          </w:tcPr>
          <w:p w14:paraId="51228570">
            <w:pPr>
              <w:widowControl/>
              <w:jc w:val="left"/>
              <w:rPr>
                <w:rFonts w:cs="Calibri"/>
                <w:kern w:val="0"/>
                <w:sz w:val="18"/>
                <w:szCs w:val="18"/>
              </w:rPr>
            </w:pPr>
            <w:r>
              <w:rPr>
                <w:rFonts w:cs="Calibri"/>
                <w:kern w:val="0"/>
                <w:sz w:val="18"/>
                <w:szCs w:val="18"/>
              </w:rPr>
              <w:t>　</w:t>
            </w:r>
          </w:p>
        </w:tc>
        <w:tc>
          <w:tcPr>
            <w:tcW w:w="848" w:type="dxa"/>
            <w:tcBorders>
              <w:top w:val="nil"/>
              <w:left w:val="nil"/>
              <w:bottom w:val="single" w:color="auto" w:sz="4" w:space="0"/>
              <w:right w:val="single" w:color="auto" w:sz="4" w:space="0"/>
            </w:tcBorders>
            <w:shd w:val="clear" w:color="auto" w:fill="auto"/>
            <w:vAlign w:val="center"/>
          </w:tcPr>
          <w:p w14:paraId="6FB379E1">
            <w:pPr>
              <w:widowControl/>
              <w:jc w:val="left"/>
              <w:rPr>
                <w:rFonts w:cs="Calibri"/>
                <w:kern w:val="0"/>
                <w:sz w:val="18"/>
                <w:szCs w:val="18"/>
              </w:rPr>
            </w:pPr>
            <w:r>
              <w:rPr>
                <w:rFonts w:cs="Calibri"/>
                <w:kern w:val="0"/>
                <w:sz w:val="18"/>
                <w:szCs w:val="18"/>
              </w:rPr>
              <w:t>　</w:t>
            </w:r>
          </w:p>
        </w:tc>
        <w:tc>
          <w:tcPr>
            <w:tcW w:w="888" w:type="dxa"/>
            <w:tcBorders>
              <w:top w:val="nil"/>
              <w:left w:val="nil"/>
              <w:bottom w:val="single" w:color="auto" w:sz="4" w:space="0"/>
              <w:right w:val="single" w:color="auto" w:sz="4" w:space="0"/>
            </w:tcBorders>
            <w:shd w:val="clear" w:color="auto" w:fill="auto"/>
            <w:vAlign w:val="center"/>
          </w:tcPr>
          <w:p w14:paraId="5578DFCD">
            <w:pPr>
              <w:widowControl/>
              <w:jc w:val="center"/>
              <w:rPr>
                <w:rFonts w:ascii="宋体" w:hAnsi="宋体"/>
                <w:b/>
                <w:bCs/>
                <w:kern w:val="0"/>
                <w:sz w:val="18"/>
                <w:szCs w:val="18"/>
              </w:rPr>
            </w:pPr>
            <w:r>
              <w:rPr>
                <w:rFonts w:hint="eastAsia" w:ascii="宋体" w:hAnsi="宋体"/>
                <w:b/>
                <w:bCs/>
                <w:kern w:val="0"/>
                <w:sz w:val="18"/>
                <w:szCs w:val="18"/>
              </w:rPr>
              <w:t>7.543</w:t>
            </w:r>
          </w:p>
        </w:tc>
        <w:tc>
          <w:tcPr>
            <w:tcW w:w="848" w:type="dxa"/>
            <w:tcBorders>
              <w:top w:val="nil"/>
              <w:left w:val="nil"/>
              <w:bottom w:val="single" w:color="auto" w:sz="4" w:space="0"/>
              <w:right w:val="single" w:color="auto" w:sz="4" w:space="0"/>
            </w:tcBorders>
            <w:shd w:val="clear" w:color="auto" w:fill="auto"/>
            <w:vAlign w:val="center"/>
          </w:tcPr>
          <w:p w14:paraId="15C30310">
            <w:pPr>
              <w:widowControl/>
              <w:jc w:val="center"/>
              <w:rPr>
                <w:rFonts w:ascii="宋体" w:hAnsi="宋体"/>
                <w:b/>
                <w:bCs/>
                <w:kern w:val="0"/>
                <w:sz w:val="18"/>
                <w:szCs w:val="18"/>
              </w:rPr>
            </w:pPr>
            <w:r>
              <w:rPr>
                <w:rFonts w:hint="eastAsia" w:ascii="宋体" w:hAnsi="宋体"/>
                <w:b/>
                <w:bCs/>
                <w:kern w:val="0"/>
                <w:sz w:val="18"/>
                <w:szCs w:val="18"/>
              </w:rPr>
              <w:t>43.5</w:t>
            </w:r>
          </w:p>
        </w:tc>
        <w:tc>
          <w:tcPr>
            <w:tcW w:w="848" w:type="dxa"/>
            <w:tcBorders>
              <w:top w:val="nil"/>
              <w:left w:val="nil"/>
              <w:bottom w:val="single" w:color="auto" w:sz="4" w:space="0"/>
              <w:right w:val="single" w:color="auto" w:sz="4" w:space="0"/>
            </w:tcBorders>
            <w:shd w:val="clear" w:color="auto" w:fill="auto"/>
            <w:vAlign w:val="center"/>
          </w:tcPr>
          <w:p w14:paraId="3EC393B1">
            <w:pPr>
              <w:widowControl/>
              <w:jc w:val="center"/>
              <w:rPr>
                <w:rFonts w:ascii="宋体" w:hAnsi="宋体"/>
                <w:b/>
                <w:bCs/>
                <w:kern w:val="0"/>
                <w:sz w:val="18"/>
                <w:szCs w:val="18"/>
              </w:rPr>
            </w:pPr>
            <w:r>
              <w:rPr>
                <w:rFonts w:hint="eastAsia" w:ascii="宋体" w:hAnsi="宋体"/>
                <w:b/>
                <w:bCs/>
                <w:kern w:val="0"/>
                <w:sz w:val="18"/>
                <w:szCs w:val="18"/>
              </w:rPr>
              <w:t>1592</w:t>
            </w:r>
          </w:p>
        </w:tc>
        <w:tc>
          <w:tcPr>
            <w:tcW w:w="1304" w:type="dxa"/>
            <w:tcBorders>
              <w:top w:val="nil"/>
              <w:left w:val="nil"/>
              <w:bottom w:val="single" w:color="auto" w:sz="4" w:space="0"/>
              <w:right w:val="single" w:color="auto" w:sz="4" w:space="0"/>
            </w:tcBorders>
            <w:shd w:val="clear" w:color="auto" w:fill="auto"/>
            <w:vAlign w:val="center"/>
          </w:tcPr>
          <w:p w14:paraId="475026D1">
            <w:pPr>
              <w:widowControl/>
              <w:jc w:val="center"/>
              <w:rPr>
                <w:rFonts w:ascii="宋体" w:hAnsi="宋体"/>
                <w:b/>
                <w:bCs/>
                <w:kern w:val="0"/>
                <w:sz w:val="18"/>
                <w:szCs w:val="18"/>
              </w:rPr>
            </w:pPr>
            <w:r>
              <w:rPr>
                <w:rFonts w:hint="eastAsia" w:ascii="宋体" w:hAnsi="宋体"/>
                <w:b/>
                <w:bCs/>
                <w:kern w:val="0"/>
                <w:sz w:val="18"/>
                <w:szCs w:val="18"/>
              </w:rPr>
              <w:t>0</w:t>
            </w:r>
          </w:p>
        </w:tc>
        <w:tc>
          <w:tcPr>
            <w:tcW w:w="1000" w:type="dxa"/>
            <w:tcBorders>
              <w:top w:val="nil"/>
              <w:left w:val="nil"/>
              <w:bottom w:val="single" w:color="auto" w:sz="4" w:space="0"/>
              <w:right w:val="single" w:color="auto" w:sz="4" w:space="0"/>
            </w:tcBorders>
            <w:shd w:val="clear" w:color="auto" w:fill="auto"/>
            <w:vAlign w:val="center"/>
          </w:tcPr>
          <w:p w14:paraId="5C5E3F04">
            <w:pPr>
              <w:widowControl/>
              <w:jc w:val="center"/>
              <w:rPr>
                <w:rFonts w:ascii="宋体" w:hAnsi="宋体"/>
                <w:b/>
                <w:bCs/>
                <w:kern w:val="0"/>
                <w:sz w:val="18"/>
                <w:szCs w:val="18"/>
              </w:rPr>
            </w:pPr>
            <w:r>
              <w:rPr>
                <w:rFonts w:hint="eastAsia" w:ascii="宋体" w:hAnsi="宋体"/>
                <w:b/>
                <w:bCs/>
                <w:kern w:val="0"/>
                <w:sz w:val="18"/>
                <w:szCs w:val="18"/>
              </w:rPr>
              <w:t>1464.64</w:t>
            </w:r>
          </w:p>
        </w:tc>
        <w:tc>
          <w:tcPr>
            <w:tcW w:w="892" w:type="dxa"/>
            <w:tcBorders>
              <w:top w:val="nil"/>
              <w:left w:val="nil"/>
              <w:bottom w:val="single" w:color="auto" w:sz="4" w:space="0"/>
              <w:right w:val="single" w:color="auto" w:sz="4" w:space="0"/>
            </w:tcBorders>
            <w:shd w:val="clear" w:color="auto" w:fill="auto"/>
            <w:vAlign w:val="center"/>
          </w:tcPr>
          <w:p w14:paraId="19D893D7">
            <w:pPr>
              <w:widowControl/>
              <w:jc w:val="center"/>
              <w:rPr>
                <w:rFonts w:ascii="宋体" w:hAnsi="宋体"/>
                <w:b/>
                <w:bCs/>
                <w:kern w:val="0"/>
                <w:sz w:val="18"/>
                <w:szCs w:val="18"/>
              </w:rPr>
            </w:pPr>
            <w:r>
              <w:rPr>
                <w:rFonts w:hint="eastAsia" w:ascii="宋体" w:hAnsi="宋体"/>
                <w:b/>
                <w:bCs/>
                <w:kern w:val="0"/>
                <w:sz w:val="18"/>
                <w:szCs w:val="18"/>
              </w:rPr>
              <w:t xml:space="preserve">32.6 </w:t>
            </w:r>
          </w:p>
        </w:tc>
        <w:tc>
          <w:tcPr>
            <w:tcW w:w="892" w:type="dxa"/>
            <w:tcBorders>
              <w:top w:val="nil"/>
              <w:left w:val="nil"/>
              <w:bottom w:val="single" w:color="auto" w:sz="4" w:space="0"/>
              <w:right w:val="single" w:color="auto" w:sz="4" w:space="0"/>
            </w:tcBorders>
            <w:shd w:val="clear" w:color="auto" w:fill="auto"/>
            <w:vAlign w:val="center"/>
          </w:tcPr>
          <w:p w14:paraId="49A37974">
            <w:pPr>
              <w:widowControl/>
              <w:jc w:val="right"/>
              <w:rPr>
                <w:rFonts w:cs="Calibri"/>
                <w:kern w:val="0"/>
                <w:sz w:val="18"/>
                <w:szCs w:val="18"/>
              </w:rPr>
            </w:pPr>
            <w:r>
              <w:rPr>
                <w:rFonts w:cs="Calibri"/>
                <w:kern w:val="0"/>
                <w:sz w:val="18"/>
                <w:szCs w:val="18"/>
              </w:rPr>
              <w:t xml:space="preserve">32.6 </w:t>
            </w:r>
          </w:p>
        </w:tc>
        <w:tc>
          <w:tcPr>
            <w:tcW w:w="851" w:type="dxa"/>
            <w:tcBorders>
              <w:top w:val="nil"/>
              <w:left w:val="nil"/>
              <w:bottom w:val="single" w:color="auto" w:sz="4" w:space="0"/>
              <w:right w:val="single" w:color="auto" w:sz="4" w:space="0"/>
            </w:tcBorders>
            <w:shd w:val="clear" w:color="auto" w:fill="auto"/>
            <w:vAlign w:val="center"/>
          </w:tcPr>
          <w:p w14:paraId="35575A34">
            <w:pPr>
              <w:widowControl/>
              <w:jc w:val="left"/>
              <w:rPr>
                <w:rFonts w:cs="Calibri"/>
                <w:kern w:val="0"/>
                <w:sz w:val="18"/>
                <w:szCs w:val="18"/>
              </w:rPr>
            </w:pPr>
            <w:r>
              <w:rPr>
                <w:rFonts w:cs="Calibri"/>
                <w:kern w:val="0"/>
                <w:sz w:val="18"/>
                <w:szCs w:val="18"/>
              </w:rPr>
              <w:t>　</w:t>
            </w:r>
          </w:p>
        </w:tc>
      </w:tr>
      <w:tr w14:paraId="1CEE72BA">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3D243901">
            <w:pPr>
              <w:widowControl/>
              <w:jc w:val="center"/>
              <w:rPr>
                <w:rFonts w:ascii="宋体" w:hAnsi="宋体"/>
                <w:kern w:val="0"/>
                <w:sz w:val="18"/>
                <w:szCs w:val="18"/>
              </w:rPr>
            </w:pPr>
            <w:r>
              <w:rPr>
                <w:rFonts w:hint="eastAsia" w:ascii="宋体" w:hAnsi="宋体"/>
                <w:kern w:val="0"/>
                <w:sz w:val="18"/>
                <w:szCs w:val="18"/>
              </w:rPr>
              <w:t>6</w:t>
            </w:r>
          </w:p>
        </w:tc>
        <w:tc>
          <w:tcPr>
            <w:tcW w:w="3191" w:type="dxa"/>
            <w:tcBorders>
              <w:top w:val="nil"/>
              <w:left w:val="nil"/>
              <w:bottom w:val="single" w:color="auto" w:sz="4" w:space="0"/>
              <w:right w:val="single" w:color="auto" w:sz="4" w:space="0"/>
            </w:tcBorders>
            <w:shd w:val="clear" w:color="auto" w:fill="auto"/>
            <w:vAlign w:val="center"/>
          </w:tcPr>
          <w:p w14:paraId="0585DC0A">
            <w:pPr>
              <w:widowControl/>
              <w:jc w:val="center"/>
              <w:rPr>
                <w:rFonts w:ascii="宋体" w:hAnsi="宋体"/>
                <w:kern w:val="0"/>
                <w:sz w:val="18"/>
                <w:szCs w:val="18"/>
              </w:rPr>
            </w:pPr>
            <w:r>
              <w:rPr>
                <w:rFonts w:hint="eastAsia" w:ascii="宋体" w:hAnsi="宋体"/>
                <w:kern w:val="0"/>
                <w:sz w:val="18"/>
                <w:szCs w:val="18"/>
              </w:rPr>
              <w:t>G355线K1821.120-K1822.330路面修复养护工程</w:t>
            </w:r>
          </w:p>
        </w:tc>
        <w:tc>
          <w:tcPr>
            <w:tcW w:w="848" w:type="dxa"/>
            <w:tcBorders>
              <w:top w:val="nil"/>
              <w:left w:val="nil"/>
              <w:bottom w:val="single" w:color="auto" w:sz="4" w:space="0"/>
              <w:right w:val="single" w:color="auto" w:sz="4" w:space="0"/>
            </w:tcBorders>
            <w:shd w:val="clear" w:color="auto" w:fill="auto"/>
            <w:vAlign w:val="center"/>
          </w:tcPr>
          <w:p w14:paraId="5CB6B4C4">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423D34F1">
            <w:pPr>
              <w:widowControl/>
              <w:jc w:val="center"/>
              <w:rPr>
                <w:rFonts w:ascii="宋体" w:hAnsi="宋体"/>
                <w:kern w:val="0"/>
                <w:sz w:val="18"/>
                <w:szCs w:val="18"/>
              </w:rPr>
            </w:pPr>
            <w:r>
              <w:rPr>
                <w:rFonts w:hint="eastAsia" w:ascii="宋体" w:hAnsi="宋体"/>
                <w:kern w:val="0"/>
                <w:sz w:val="18"/>
                <w:szCs w:val="18"/>
              </w:rPr>
              <w:t>1819.36</w:t>
            </w:r>
          </w:p>
        </w:tc>
        <w:tc>
          <w:tcPr>
            <w:tcW w:w="1100" w:type="dxa"/>
            <w:tcBorders>
              <w:top w:val="nil"/>
              <w:left w:val="nil"/>
              <w:bottom w:val="single" w:color="auto" w:sz="4" w:space="0"/>
              <w:right w:val="single" w:color="auto" w:sz="4" w:space="0"/>
            </w:tcBorders>
            <w:shd w:val="clear" w:color="auto" w:fill="auto"/>
            <w:vAlign w:val="center"/>
          </w:tcPr>
          <w:p w14:paraId="025B4FF9">
            <w:pPr>
              <w:widowControl/>
              <w:jc w:val="center"/>
              <w:rPr>
                <w:rFonts w:ascii="宋体" w:hAnsi="宋体"/>
                <w:kern w:val="0"/>
                <w:sz w:val="18"/>
                <w:szCs w:val="18"/>
              </w:rPr>
            </w:pPr>
            <w:r>
              <w:rPr>
                <w:rFonts w:hint="eastAsia" w:ascii="宋体" w:hAnsi="宋体"/>
                <w:kern w:val="0"/>
                <w:sz w:val="18"/>
                <w:szCs w:val="18"/>
              </w:rPr>
              <w:t>1822.33</w:t>
            </w:r>
          </w:p>
        </w:tc>
        <w:tc>
          <w:tcPr>
            <w:tcW w:w="848" w:type="dxa"/>
            <w:tcBorders>
              <w:top w:val="nil"/>
              <w:left w:val="nil"/>
              <w:bottom w:val="single" w:color="auto" w:sz="4" w:space="0"/>
              <w:right w:val="single" w:color="auto" w:sz="4" w:space="0"/>
            </w:tcBorders>
            <w:shd w:val="clear" w:color="auto" w:fill="auto"/>
            <w:vAlign w:val="center"/>
          </w:tcPr>
          <w:p w14:paraId="06B0F609">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2A776881">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4EC04901">
            <w:pPr>
              <w:widowControl/>
              <w:jc w:val="center"/>
              <w:rPr>
                <w:rFonts w:ascii="宋体" w:hAnsi="宋体"/>
                <w:kern w:val="0"/>
                <w:sz w:val="18"/>
                <w:szCs w:val="18"/>
              </w:rPr>
            </w:pPr>
            <w:r>
              <w:rPr>
                <w:rFonts w:hint="eastAsia" w:ascii="宋体" w:hAnsi="宋体"/>
                <w:kern w:val="0"/>
                <w:sz w:val="18"/>
                <w:szCs w:val="18"/>
              </w:rPr>
              <w:t>2.97</w:t>
            </w:r>
          </w:p>
        </w:tc>
        <w:tc>
          <w:tcPr>
            <w:tcW w:w="848" w:type="dxa"/>
            <w:tcBorders>
              <w:top w:val="nil"/>
              <w:left w:val="nil"/>
              <w:bottom w:val="single" w:color="auto" w:sz="4" w:space="0"/>
              <w:right w:val="single" w:color="auto" w:sz="4" w:space="0"/>
            </w:tcBorders>
            <w:shd w:val="clear" w:color="auto" w:fill="auto"/>
            <w:vAlign w:val="center"/>
          </w:tcPr>
          <w:p w14:paraId="1CC1588D">
            <w:pPr>
              <w:widowControl/>
              <w:jc w:val="center"/>
              <w:rPr>
                <w:rFonts w:ascii="宋体" w:hAnsi="宋体"/>
                <w:kern w:val="0"/>
                <w:sz w:val="18"/>
                <w:szCs w:val="18"/>
              </w:rPr>
            </w:pPr>
            <w:r>
              <w:rPr>
                <w:rFonts w:hint="eastAsia" w:ascii="宋体" w:hAnsi="宋体"/>
                <w:kern w:val="0"/>
                <w:sz w:val="18"/>
                <w:szCs w:val="18"/>
              </w:rPr>
              <w:t>10</w:t>
            </w:r>
          </w:p>
        </w:tc>
        <w:tc>
          <w:tcPr>
            <w:tcW w:w="848" w:type="dxa"/>
            <w:tcBorders>
              <w:top w:val="nil"/>
              <w:left w:val="nil"/>
              <w:bottom w:val="single" w:color="auto" w:sz="4" w:space="0"/>
              <w:right w:val="single" w:color="auto" w:sz="4" w:space="0"/>
            </w:tcBorders>
            <w:shd w:val="clear" w:color="auto" w:fill="auto"/>
            <w:vAlign w:val="center"/>
          </w:tcPr>
          <w:p w14:paraId="7A8FFDDE">
            <w:pPr>
              <w:widowControl/>
              <w:jc w:val="center"/>
              <w:rPr>
                <w:rFonts w:ascii="宋体" w:hAnsi="宋体"/>
                <w:kern w:val="0"/>
                <w:sz w:val="18"/>
                <w:szCs w:val="18"/>
              </w:rPr>
            </w:pPr>
            <w:r>
              <w:rPr>
                <w:rFonts w:hint="eastAsia" w:ascii="宋体" w:hAnsi="宋体"/>
                <w:kern w:val="0"/>
                <w:sz w:val="18"/>
                <w:szCs w:val="18"/>
              </w:rPr>
              <w:t>787</w:t>
            </w:r>
          </w:p>
        </w:tc>
        <w:tc>
          <w:tcPr>
            <w:tcW w:w="1304" w:type="dxa"/>
            <w:tcBorders>
              <w:top w:val="nil"/>
              <w:left w:val="nil"/>
              <w:bottom w:val="single" w:color="auto" w:sz="4" w:space="0"/>
              <w:right w:val="single" w:color="auto" w:sz="4" w:space="0"/>
            </w:tcBorders>
            <w:shd w:val="clear" w:color="auto" w:fill="auto"/>
            <w:vAlign w:val="center"/>
          </w:tcPr>
          <w:p w14:paraId="3B7A260C">
            <w:pPr>
              <w:widowControl/>
              <w:jc w:val="center"/>
              <w:rPr>
                <w:rFonts w:ascii="宋体" w:hAnsi="宋体"/>
                <w:kern w:val="0"/>
                <w:sz w:val="18"/>
                <w:szCs w:val="18"/>
              </w:rPr>
            </w:pPr>
            <w:r>
              <w:rPr>
                <w:rFonts w:hint="eastAsia" w:ascii="宋体" w:hAnsi="宋体"/>
                <w:kern w:val="0"/>
                <w:sz w:val="18"/>
                <w:szCs w:val="18"/>
              </w:rPr>
              <w:t>兴宾公路养护中心</w:t>
            </w:r>
          </w:p>
        </w:tc>
        <w:tc>
          <w:tcPr>
            <w:tcW w:w="1000" w:type="dxa"/>
            <w:tcBorders>
              <w:top w:val="nil"/>
              <w:left w:val="nil"/>
              <w:bottom w:val="single" w:color="auto" w:sz="4" w:space="0"/>
              <w:right w:val="single" w:color="auto" w:sz="4" w:space="0"/>
            </w:tcBorders>
            <w:shd w:val="clear" w:color="auto" w:fill="auto"/>
            <w:noWrap/>
            <w:vAlign w:val="center"/>
          </w:tcPr>
          <w:p w14:paraId="57BBAAA2">
            <w:pPr>
              <w:widowControl/>
              <w:jc w:val="center"/>
              <w:rPr>
                <w:rFonts w:ascii="宋体" w:hAnsi="宋体"/>
                <w:kern w:val="0"/>
                <w:sz w:val="18"/>
                <w:szCs w:val="18"/>
              </w:rPr>
            </w:pPr>
            <w:r>
              <w:rPr>
                <w:rFonts w:hint="eastAsia" w:ascii="宋体" w:hAnsi="宋体"/>
                <w:kern w:val="0"/>
                <w:sz w:val="18"/>
                <w:szCs w:val="18"/>
              </w:rPr>
              <w:t>724.04</w:t>
            </w:r>
          </w:p>
        </w:tc>
        <w:tc>
          <w:tcPr>
            <w:tcW w:w="892" w:type="dxa"/>
            <w:tcBorders>
              <w:top w:val="nil"/>
              <w:left w:val="nil"/>
              <w:bottom w:val="single" w:color="auto" w:sz="4" w:space="0"/>
              <w:right w:val="single" w:color="auto" w:sz="4" w:space="0"/>
            </w:tcBorders>
            <w:shd w:val="clear" w:color="auto" w:fill="auto"/>
            <w:vAlign w:val="center"/>
          </w:tcPr>
          <w:p w14:paraId="34DB8C61">
            <w:pPr>
              <w:widowControl/>
              <w:jc w:val="center"/>
              <w:rPr>
                <w:rFonts w:ascii="宋体" w:hAnsi="宋体"/>
                <w:kern w:val="0"/>
                <w:sz w:val="18"/>
                <w:szCs w:val="18"/>
              </w:rPr>
            </w:pPr>
            <w:r>
              <w:rPr>
                <w:rFonts w:hint="eastAsia" w:ascii="宋体" w:hAnsi="宋体"/>
                <w:kern w:val="0"/>
                <w:sz w:val="18"/>
                <w:szCs w:val="18"/>
              </w:rPr>
              <w:t>14.14</w:t>
            </w:r>
          </w:p>
        </w:tc>
        <w:tc>
          <w:tcPr>
            <w:tcW w:w="892" w:type="dxa"/>
            <w:vMerge w:val="restart"/>
            <w:tcBorders>
              <w:top w:val="nil"/>
              <w:left w:val="single" w:color="auto" w:sz="4" w:space="0"/>
              <w:bottom w:val="single" w:color="auto" w:sz="4" w:space="0"/>
              <w:right w:val="single" w:color="auto" w:sz="4" w:space="0"/>
            </w:tcBorders>
            <w:shd w:val="clear" w:color="auto" w:fill="auto"/>
            <w:vAlign w:val="center"/>
          </w:tcPr>
          <w:p w14:paraId="27AF1693">
            <w:pPr>
              <w:widowControl/>
              <w:jc w:val="center"/>
              <w:rPr>
                <w:rFonts w:ascii="宋体" w:hAnsi="宋体"/>
                <w:b/>
                <w:bCs/>
                <w:kern w:val="0"/>
                <w:sz w:val="18"/>
                <w:szCs w:val="18"/>
              </w:rPr>
            </w:pPr>
            <w:r>
              <w:rPr>
                <w:rFonts w:hint="eastAsia" w:ascii="宋体" w:hAnsi="宋体"/>
                <w:b/>
                <w:bCs/>
                <w:kern w:val="0"/>
                <w:sz w:val="18"/>
                <w:szCs w:val="18"/>
              </w:rPr>
              <w:t xml:space="preserve">32.8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32647DEB">
            <w:pPr>
              <w:widowControl/>
              <w:jc w:val="center"/>
              <w:rPr>
                <w:rFonts w:ascii="宋体" w:hAnsi="宋体"/>
                <w:b/>
                <w:bCs/>
                <w:kern w:val="0"/>
                <w:sz w:val="18"/>
                <w:szCs w:val="18"/>
              </w:rPr>
            </w:pPr>
            <w:r>
              <w:rPr>
                <w:rFonts w:hint="eastAsia" w:ascii="宋体" w:hAnsi="宋体"/>
                <w:b/>
                <w:bCs/>
                <w:kern w:val="0"/>
                <w:sz w:val="18"/>
                <w:szCs w:val="18"/>
              </w:rPr>
              <w:t>NO.B</w:t>
            </w:r>
          </w:p>
        </w:tc>
      </w:tr>
      <w:tr w14:paraId="57C55879">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6451629C">
            <w:pPr>
              <w:widowControl/>
              <w:jc w:val="center"/>
              <w:rPr>
                <w:rFonts w:ascii="宋体" w:hAnsi="宋体"/>
                <w:kern w:val="0"/>
                <w:sz w:val="18"/>
                <w:szCs w:val="18"/>
              </w:rPr>
            </w:pPr>
            <w:r>
              <w:rPr>
                <w:rFonts w:hint="eastAsia" w:ascii="宋体" w:hAnsi="宋体"/>
                <w:kern w:val="0"/>
                <w:sz w:val="18"/>
                <w:szCs w:val="18"/>
              </w:rPr>
              <w:t>7</w:t>
            </w:r>
          </w:p>
        </w:tc>
        <w:tc>
          <w:tcPr>
            <w:tcW w:w="3191" w:type="dxa"/>
            <w:tcBorders>
              <w:top w:val="nil"/>
              <w:left w:val="nil"/>
              <w:bottom w:val="single" w:color="auto" w:sz="4" w:space="0"/>
              <w:right w:val="single" w:color="auto" w:sz="4" w:space="0"/>
            </w:tcBorders>
            <w:shd w:val="clear" w:color="auto" w:fill="auto"/>
            <w:vAlign w:val="center"/>
          </w:tcPr>
          <w:p w14:paraId="151C07D6">
            <w:pPr>
              <w:widowControl/>
              <w:jc w:val="center"/>
              <w:rPr>
                <w:rFonts w:ascii="宋体" w:hAnsi="宋体"/>
                <w:kern w:val="0"/>
                <w:sz w:val="18"/>
                <w:szCs w:val="18"/>
              </w:rPr>
            </w:pPr>
            <w:r>
              <w:rPr>
                <w:rFonts w:hint="eastAsia" w:ascii="宋体" w:hAnsi="宋体"/>
                <w:kern w:val="0"/>
                <w:sz w:val="18"/>
                <w:szCs w:val="18"/>
              </w:rPr>
              <w:t>G355线K1825.330-K1826.330路面修复养护工程</w:t>
            </w:r>
          </w:p>
        </w:tc>
        <w:tc>
          <w:tcPr>
            <w:tcW w:w="848" w:type="dxa"/>
            <w:tcBorders>
              <w:top w:val="nil"/>
              <w:left w:val="nil"/>
              <w:bottom w:val="single" w:color="auto" w:sz="4" w:space="0"/>
              <w:right w:val="single" w:color="auto" w:sz="4" w:space="0"/>
            </w:tcBorders>
            <w:shd w:val="clear" w:color="auto" w:fill="auto"/>
            <w:vAlign w:val="center"/>
          </w:tcPr>
          <w:p w14:paraId="20024286">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6A0440E8">
            <w:pPr>
              <w:widowControl/>
              <w:jc w:val="center"/>
              <w:rPr>
                <w:rFonts w:ascii="宋体" w:hAnsi="宋体"/>
                <w:kern w:val="0"/>
                <w:sz w:val="18"/>
                <w:szCs w:val="18"/>
              </w:rPr>
            </w:pPr>
            <w:r>
              <w:rPr>
                <w:rFonts w:hint="eastAsia" w:ascii="宋体" w:hAnsi="宋体"/>
                <w:kern w:val="0"/>
                <w:sz w:val="18"/>
                <w:szCs w:val="18"/>
              </w:rPr>
              <w:t>1825.33</w:t>
            </w:r>
          </w:p>
        </w:tc>
        <w:tc>
          <w:tcPr>
            <w:tcW w:w="1100" w:type="dxa"/>
            <w:tcBorders>
              <w:top w:val="nil"/>
              <w:left w:val="nil"/>
              <w:bottom w:val="single" w:color="auto" w:sz="4" w:space="0"/>
              <w:right w:val="single" w:color="auto" w:sz="4" w:space="0"/>
            </w:tcBorders>
            <w:shd w:val="clear" w:color="auto" w:fill="auto"/>
            <w:vAlign w:val="center"/>
          </w:tcPr>
          <w:p w14:paraId="08AB7684">
            <w:pPr>
              <w:widowControl/>
              <w:jc w:val="center"/>
              <w:rPr>
                <w:rFonts w:ascii="宋体" w:hAnsi="宋体"/>
                <w:kern w:val="0"/>
                <w:sz w:val="18"/>
                <w:szCs w:val="18"/>
              </w:rPr>
            </w:pPr>
            <w:r>
              <w:rPr>
                <w:rFonts w:hint="eastAsia" w:ascii="宋体" w:hAnsi="宋体"/>
                <w:kern w:val="0"/>
                <w:sz w:val="18"/>
                <w:szCs w:val="18"/>
              </w:rPr>
              <w:t>1826.33</w:t>
            </w:r>
          </w:p>
        </w:tc>
        <w:tc>
          <w:tcPr>
            <w:tcW w:w="848" w:type="dxa"/>
            <w:tcBorders>
              <w:top w:val="nil"/>
              <w:left w:val="nil"/>
              <w:bottom w:val="single" w:color="auto" w:sz="4" w:space="0"/>
              <w:right w:val="single" w:color="auto" w:sz="4" w:space="0"/>
            </w:tcBorders>
            <w:shd w:val="clear" w:color="auto" w:fill="auto"/>
            <w:vAlign w:val="center"/>
          </w:tcPr>
          <w:p w14:paraId="7C3B8078">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72114108">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6D1A3968">
            <w:pPr>
              <w:widowControl/>
              <w:jc w:val="center"/>
              <w:rPr>
                <w:rFonts w:ascii="宋体" w:hAnsi="宋体"/>
                <w:kern w:val="0"/>
                <w:sz w:val="18"/>
                <w:szCs w:val="18"/>
              </w:rPr>
            </w:pPr>
            <w:r>
              <w:rPr>
                <w:rFonts w:hint="eastAsia" w:ascii="宋体" w:hAnsi="宋体"/>
                <w:kern w:val="0"/>
                <w:sz w:val="18"/>
                <w:szCs w:val="18"/>
              </w:rPr>
              <w:t>1</w:t>
            </w:r>
          </w:p>
        </w:tc>
        <w:tc>
          <w:tcPr>
            <w:tcW w:w="848" w:type="dxa"/>
            <w:tcBorders>
              <w:top w:val="nil"/>
              <w:left w:val="nil"/>
              <w:bottom w:val="single" w:color="auto" w:sz="4" w:space="0"/>
              <w:right w:val="single" w:color="auto" w:sz="4" w:space="0"/>
            </w:tcBorders>
            <w:shd w:val="clear" w:color="auto" w:fill="auto"/>
            <w:vAlign w:val="center"/>
          </w:tcPr>
          <w:p w14:paraId="49610655">
            <w:pPr>
              <w:widowControl/>
              <w:jc w:val="center"/>
              <w:rPr>
                <w:rFonts w:ascii="宋体" w:hAnsi="宋体"/>
                <w:kern w:val="0"/>
                <w:sz w:val="18"/>
                <w:szCs w:val="18"/>
              </w:rPr>
            </w:pPr>
            <w:r>
              <w:rPr>
                <w:rFonts w:hint="eastAsia" w:ascii="宋体" w:hAnsi="宋体"/>
                <w:kern w:val="0"/>
                <w:sz w:val="18"/>
                <w:szCs w:val="18"/>
              </w:rPr>
              <w:t>10</w:t>
            </w:r>
          </w:p>
        </w:tc>
        <w:tc>
          <w:tcPr>
            <w:tcW w:w="848" w:type="dxa"/>
            <w:tcBorders>
              <w:top w:val="nil"/>
              <w:left w:val="nil"/>
              <w:bottom w:val="single" w:color="auto" w:sz="4" w:space="0"/>
              <w:right w:val="single" w:color="auto" w:sz="4" w:space="0"/>
            </w:tcBorders>
            <w:shd w:val="clear" w:color="auto" w:fill="auto"/>
            <w:vAlign w:val="center"/>
          </w:tcPr>
          <w:p w14:paraId="253A1944">
            <w:pPr>
              <w:widowControl/>
              <w:jc w:val="center"/>
              <w:rPr>
                <w:rFonts w:ascii="宋体" w:hAnsi="宋体"/>
                <w:kern w:val="0"/>
                <w:sz w:val="18"/>
                <w:szCs w:val="18"/>
              </w:rPr>
            </w:pPr>
            <w:r>
              <w:rPr>
                <w:rFonts w:hint="eastAsia" w:ascii="宋体" w:hAnsi="宋体"/>
                <w:kern w:val="0"/>
                <w:sz w:val="18"/>
                <w:szCs w:val="18"/>
              </w:rPr>
              <w:t>265</w:t>
            </w:r>
          </w:p>
        </w:tc>
        <w:tc>
          <w:tcPr>
            <w:tcW w:w="1304" w:type="dxa"/>
            <w:tcBorders>
              <w:top w:val="nil"/>
              <w:left w:val="nil"/>
              <w:bottom w:val="single" w:color="auto" w:sz="4" w:space="0"/>
              <w:right w:val="single" w:color="auto" w:sz="4" w:space="0"/>
            </w:tcBorders>
            <w:shd w:val="clear" w:color="auto" w:fill="auto"/>
            <w:vAlign w:val="center"/>
          </w:tcPr>
          <w:p w14:paraId="2B26716E">
            <w:pPr>
              <w:widowControl/>
              <w:jc w:val="center"/>
              <w:rPr>
                <w:rFonts w:ascii="宋体" w:hAnsi="宋体"/>
                <w:kern w:val="0"/>
                <w:sz w:val="18"/>
                <w:szCs w:val="18"/>
              </w:rPr>
            </w:pPr>
            <w:r>
              <w:rPr>
                <w:rFonts w:hint="eastAsia" w:ascii="宋体" w:hAnsi="宋体"/>
                <w:kern w:val="0"/>
                <w:sz w:val="18"/>
                <w:szCs w:val="18"/>
              </w:rPr>
              <w:t>兴宾公路养护中心</w:t>
            </w:r>
          </w:p>
        </w:tc>
        <w:tc>
          <w:tcPr>
            <w:tcW w:w="1000" w:type="dxa"/>
            <w:tcBorders>
              <w:top w:val="nil"/>
              <w:left w:val="nil"/>
              <w:bottom w:val="single" w:color="auto" w:sz="4" w:space="0"/>
              <w:right w:val="single" w:color="auto" w:sz="4" w:space="0"/>
            </w:tcBorders>
            <w:shd w:val="clear" w:color="auto" w:fill="auto"/>
            <w:noWrap/>
            <w:vAlign w:val="center"/>
          </w:tcPr>
          <w:p w14:paraId="172F149B">
            <w:pPr>
              <w:widowControl/>
              <w:jc w:val="center"/>
              <w:rPr>
                <w:rFonts w:ascii="宋体" w:hAnsi="宋体"/>
                <w:kern w:val="0"/>
                <w:sz w:val="18"/>
                <w:szCs w:val="18"/>
              </w:rPr>
            </w:pPr>
            <w:r>
              <w:rPr>
                <w:rFonts w:hint="eastAsia" w:ascii="宋体" w:hAnsi="宋体"/>
                <w:kern w:val="0"/>
                <w:sz w:val="18"/>
                <w:szCs w:val="18"/>
              </w:rPr>
              <w:t>243.8</w:t>
            </w:r>
          </w:p>
        </w:tc>
        <w:tc>
          <w:tcPr>
            <w:tcW w:w="892" w:type="dxa"/>
            <w:tcBorders>
              <w:top w:val="nil"/>
              <w:left w:val="nil"/>
              <w:bottom w:val="single" w:color="auto" w:sz="4" w:space="0"/>
              <w:right w:val="single" w:color="auto" w:sz="4" w:space="0"/>
            </w:tcBorders>
            <w:shd w:val="clear" w:color="auto" w:fill="auto"/>
            <w:vAlign w:val="center"/>
          </w:tcPr>
          <w:p w14:paraId="34E2BFC3">
            <w:pPr>
              <w:widowControl/>
              <w:jc w:val="center"/>
              <w:rPr>
                <w:rFonts w:ascii="宋体" w:hAnsi="宋体"/>
                <w:kern w:val="0"/>
                <w:sz w:val="18"/>
                <w:szCs w:val="18"/>
              </w:rPr>
            </w:pPr>
            <w:r>
              <w:rPr>
                <w:rFonts w:hint="eastAsia" w:ascii="宋体" w:hAnsi="宋体"/>
                <w:kern w:val="0"/>
                <w:sz w:val="18"/>
                <w:szCs w:val="18"/>
              </w:rPr>
              <w:t>5.62</w:t>
            </w:r>
          </w:p>
        </w:tc>
        <w:tc>
          <w:tcPr>
            <w:tcW w:w="892" w:type="dxa"/>
            <w:vMerge w:val="continue"/>
            <w:tcBorders>
              <w:top w:val="nil"/>
              <w:left w:val="single" w:color="auto" w:sz="4" w:space="0"/>
              <w:bottom w:val="single" w:color="auto" w:sz="4" w:space="0"/>
              <w:right w:val="single" w:color="auto" w:sz="4" w:space="0"/>
            </w:tcBorders>
            <w:vAlign w:val="center"/>
          </w:tcPr>
          <w:p w14:paraId="6EAF6431">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75CAE8C0">
            <w:pPr>
              <w:widowControl/>
              <w:jc w:val="left"/>
              <w:rPr>
                <w:rFonts w:ascii="宋体" w:hAnsi="宋体"/>
                <w:b/>
                <w:bCs/>
                <w:kern w:val="0"/>
                <w:sz w:val="18"/>
                <w:szCs w:val="18"/>
              </w:rPr>
            </w:pPr>
          </w:p>
        </w:tc>
      </w:tr>
      <w:tr w14:paraId="0BBAE171">
        <w:tblPrEx>
          <w:tblCellMar>
            <w:top w:w="0" w:type="dxa"/>
            <w:left w:w="108" w:type="dxa"/>
            <w:bottom w:w="0" w:type="dxa"/>
            <w:right w:w="108" w:type="dxa"/>
          </w:tblCellMar>
        </w:tblPrEx>
        <w:trPr>
          <w:trHeight w:val="406"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7BEC36D3">
            <w:pPr>
              <w:widowControl/>
              <w:jc w:val="center"/>
              <w:rPr>
                <w:rFonts w:ascii="宋体" w:hAnsi="宋体"/>
                <w:kern w:val="0"/>
                <w:sz w:val="18"/>
                <w:szCs w:val="18"/>
              </w:rPr>
            </w:pPr>
            <w:r>
              <w:rPr>
                <w:rFonts w:hint="eastAsia" w:ascii="宋体" w:hAnsi="宋体"/>
                <w:kern w:val="0"/>
                <w:sz w:val="18"/>
                <w:szCs w:val="18"/>
              </w:rPr>
              <w:t>8</w:t>
            </w:r>
          </w:p>
        </w:tc>
        <w:tc>
          <w:tcPr>
            <w:tcW w:w="3191" w:type="dxa"/>
            <w:tcBorders>
              <w:top w:val="nil"/>
              <w:left w:val="nil"/>
              <w:bottom w:val="single" w:color="auto" w:sz="4" w:space="0"/>
              <w:right w:val="single" w:color="auto" w:sz="4" w:space="0"/>
            </w:tcBorders>
            <w:shd w:val="clear" w:color="auto" w:fill="auto"/>
            <w:vAlign w:val="center"/>
          </w:tcPr>
          <w:p w14:paraId="0630042A">
            <w:pPr>
              <w:widowControl/>
              <w:jc w:val="center"/>
              <w:rPr>
                <w:rFonts w:ascii="宋体" w:hAnsi="宋体"/>
                <w:kern w:val="0"/>
                <w:sz w:val="18"/>
                <w:szCs w:val="18"/>
              </w:rPr>
            </w:pPr>
            <w:r>
              <w:rPr>
                <w:rFonts w:hint="eastAsia" w:ascii="宋体" w:hAnsi="宋体"/>
                <w:kern w:val="0"/>
                <w:sz w:val="18"/>
                <w:szCs w:val="18"/>
              </w:rPr>
              <w:t>G355线K1819.360-K1833路面修复养护工程（选段)</w:t>
            </w:r>
          </w:p>
        </w:tc>
        <w:tc>
          <w:tcPr>
            <w:tcW w:w="848" w:type="dxa"/>
            <w:tcBorders>
              <w:top w:val="nil"/>
              <w:left w:val="nil"/>
              <w:bottom w:val="single" w:color="auto" w:sz="4" w:space="0"/>
              <w:right w:val="single" w:color="auto" w:sz="4" w:space="0"/>
            </w:tcBorders>
            <w:shd w:val="clear" w:color="auto" w:fill="auto"/>
            <w:vAlign w:val="center"/>
          </w:tcPr>
          <w:p w14:paraId="6486B47F">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53E2141D">
            <w:pPr>
              <w:widowControl/>
              <w:jc w:val="center"/>
              <w:rPr>
                <w:rFonts w:ascii="宋体" w:hAnsi="宋体"/>
                <w:kern w:val="0"/>
                <w:sz w:val="18"/>
                <w:szCs w:val="18"/>
              </w:rPr>
            </w:pPr>
            <w:r>
              <w:rPr>
                <w:rFonts w:hint="eastAsia" w:ascii="宋体" w:hAnsi="宋体"/>
                <w:kern w:val="0"/>
                <w:sz w:val="18"/>
                <w:szCs w:val="18"/>
              </w:rPr>
              <w:t xml:space="preserve"> 1827.330 1831.812</w:t>
            </w:r>
          </w:p>
        </w:tc>
        <w:tc>
          <w:tcPr>
            <w:tcW w:w="1100" w:type="dxa"/>
            <w:tcBorders>
              <w:top w:val="nil"/>
              <w:left w:val="nil"/>
              <w:bottom w:val="single" w:color="auto" w:sz="4" w:space="0"/>
              <w:right w:val="single" w:color="auto" w:sz="4" w:space="0"/>
            </w:tcBorders>
            <w:shd w:val="clear" w:color="auto" w:fill="auto"/>
            <w:vAlign w:val="center"/>
          </w:tcPr>
          <w:p w14:paraId="3F9B06D3">
            <w:pPr>
              <w:widowControl/>
              <w:jc w:val="center"/>
              <w:rPr>
                <w:rFonts w:ascii="宋体" w:hAnsi="宋体"/>
                <w:kern w:val="0"/>
                <w:sz w:val="18"/>
                <w:szCs w:val="18"/>
              </w:rPr>
            </w:pPr>
            <w:r>
              <w:rPr>
                <w:rFonts w:hint="eastAsia" w:ascii="宋体" w:hAnsi="宋体"/>
                <w:kern w:val="0"/>
                <w:sz w:val="18"/>
                <w:szCs w:val="18"/>
              </w:rPr>
              <w:t xml:space="preserve"> 1828.130  1833.000</w:t>
            </w:r>
          </w:p>
        </w:tc>
        <w:tc>
          <w:tcPr>
            <w:tcW w:w="848" w:type="dxa"/>
            <w:tcBorders>
              <w:top w:val="nil"/>
              <w:left w:val="nil"/>
              <w:bottom w:val="single" w:color="auto" w:sz="4" w:space="0"/>
              <w:right w:val="single" w:color="auto" w:sz="4" w:space="0"/>
            </w:tcBorders>
            <w:shd w:val="clear" w:color="auto" w:fill="auto"/>
            <w:vAlign w:val="center"/>
          </w:tcPr>
          <w:p w14:paraId="40296A70">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2BB8175A">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771319C3">
            <w:pPr>
              <w:widowControl/>
              <w:jc w:val="center"/>
              <w:rPr>
                <w:rFonts w:ascii="宋体" w:hAnsi="宋体"/>
                <w:kern w:val="0"/>
                <w:sz w:val="18"/>
                <w:szCs w:val="18"/>
              </w:rPr>
            </w:pPr>
            <w:r>
              <w:rPr>
                <w:rFonts w:hint="eastAsia" w:ascii="宋体" w:hAnsi="宋体"/>
                <w:kern w:val="0"/>
                <w:sz w:val="18"/>
                <w:szCs w:val="18"/>
              </w:rPr>
              <w:t>1.988</w:t>
            </w:r>
          </w:p>
        </w:tc>
        <w:tc>
          <w:tcPr>
            <w:tcW w:w="848" w:type="dxa"/>
            <w:tcBorders>
              <w:top w:val="nil"/>
              <w:left w:val="nil"/>
              <w:bottom w:val="single" w:color="auto" w:sz="4" w:space="0"/>
              <w:right w:val="single" w:color="auto" w:sz="4" w:space="0"/>
            </w:tcBorders>
            <w:shd w:val="clear" w:color="auto" w:fill="auto"/>
            <w:vAlign w:val="center"/>
          </w:tcPr>
          <w:p w14:paraId="0C2CB7AC">
            <w:pPr>
              <w:widowControl/>
              <w:jc w:val="center"/>
              <w:rPr>
                <w:rFonts w:ascii="宋体" w:hAnsi="宋体"/>
                <w:kern w:val="0"/>
                <w:sz w:val="18"/>
                <w:szCs w:val="18"/>
              </w:rPr>
            </w:pPr>
            <w:r>
              <w:rPr>
                <w:rFonts w:hint="eastAsia" w:ascii="宋体" w:hAnsi="宋体"/>
                <w:kern w:val="0"/>
                <w:sz w:val="18"/>
                <w:szCs w:val="18"/>
              </w:rPr>
              <w:t>10</w:t>
            </w:r>
          </w:p>
        </w:tc>
        <w:tc>
          <w:tcPr>
            <w:tcW w:w="848" w:type="dxa"/>
            <w:tcBorders>
              <w:top w:val="nil"/>
              <w:left w:val="nil"/>
              <w:bottom w:val="single" w:color="auto" w:sz="4" w:space="0"/>
              <w:right w:val="single" w:color="auto" w:sz="4" w:space="0"/>
            </w:tcBorders>
            <w:shd w:val="clear" w:color="auto" w:fill="auto"/>
            <w:vAlign w:val="center"/>
          </w:tcPr>
          <w:p w14:paraId="153F2F80">
            <w:pPr>
              <w:widowControl/>
              <w:jc w:val="center"/>
              <w:rPr>
                <w:rFonts w:ascii="宋体" w:hAnsi="宋体"/>
                <w:kern w:val="0"/>
                <w:sz w:val="18"/>
                <w:szCs w:val="18"/>
              </w:rPr>
            </w:pPr>
            <w:r>
              <w:rPr>
                <w:rFonts w:hint="eastAsia" w:ascii="宋体" w:hAnsi="宋体"/>
                <w:kern w:val="0"/>
                <w:sz w:val="18"/>
                <w:szCs w:val="18"/>
              </w:rPr>
              <w:t>537</w:t>
            </w:r>
          </w:p>
        </w:tc>
        <w:tc>
          <w:tcPr>
            <w:tcW w:w="1304" w:type="dxa"/>
            <w:tcBorders>
              <w:top w:val="nil"/>
              <w:left w:val="nil"/>
              <w:bottom w:val="single" w:color="auto" w:sz="4" w:space="0"/>
              <w:right w:val="single" w:color="auto" w:sz="4" w:space="0"/>
            </w:tcBorders>
            <w:shd w:val="clear" w:color="auto" w:fill="auto"/>
            <w:vAlign w:val="center"/>
          </w:tcPr>
          <w:p w14:paraId="17721410">
            <w:pPr>
              <w:widowControl/>
              <w:jc w:val="center"/>
              <w:rPr>
                <w:rFonts w:ascii="宋体" w:hAnsi="宋体"/>
                <w:kern w:val="0"/>
                <w:sz w:val="18"/>
                <w:szCs w:val="18"/>
              </w:rPr>
            </w:pPr>
            <w:r>
              <w:rPr>
                <w:rFonts w:hint="eastAsia" w:ascii="宋体" w:hAnsi="宋体"/>
                <w:kern w:val="0"/>
                <w:sz w:val="18"/>
                <w:szCs w:val="18"/>
              </w:rPr>
              <w:t>桂中公路发展中心</w:t>
            </w:r>
          </w:p>
        </w:tc>
        <w:tc>
          <w:tcPr>
            <w:tcW w:w="1000" w:type="dxa"/>
            <w:tcBorders>
              <w:top w:val="nil"/>
              <w:left w:val="nil"/>
              <w:bottom w:val="single" w:color="auto" w:sz="4" w:space="0"/>
              <w:right w:val="single" w:color="auto" w:sz="4" w:space="0"/>
            </w:tcBorders>
            <w:shd w:val="clear" w:color="auto" w:fill="auto"/>
            <w:noWrap/>
            <w:vAlign w:val="center"/>
          </w:tcPr>
          <w:p w14:paraId="0AA90898">
            <w:pPr>
              <w:widowControl/>
              <w:jc w:val="center"/>
              <w:rPr>
                <w:rFonts w:ascii="宋体" w:hAnsi="宋体"/>
                <w:kern w:val="0"/>
                <w:sz w:val="18"/>
                <w:szCs w:val="18"/>
              </w:rPr>
            </w:pPr>
            <w:r>
              <w:rPr>
                <w:rFonts w:hint="eastAsia" w:ascii="宋体" w:hAnsi="宋体"/>
                <w:kern w:val="0"/>
                <w:sz w:val="18"/>
                <w:szCs w:val="18"/>
              </w:rPr>
              <w:t>494.04</w:t>
            </w:r>
          </w:p>
        </w:tc>
        <w:tc>
          <w:tcPr>
            <w:tcW w:w="892" w:type="dxa"/>
            <w:tcBorders>
              <w:top w:val="nil"/>
              <w:left w:val="nil"/>
              <w:bottom w:val="single" w:color="auto" w:sz="4" w:space="0"/>
              <w:right w:val="single" w:color="auto" w:sz="4" w:space="0"/>
            </w:tcBorders>
            <w:shd w:val="clear" w:color="auto" w:fill="auto"/>
            <w:vAlign w:val="center"/>
          </w:tcPr>
          <w:p w14:paraId="28278AFD">
            <w:pPr>
              <w:widowControl/>
              <w:jc w:val="center"/>
              <w:rPr>
                <w:rFonts w:ascii="宋体" w:hAnsi="宋体"/>
                <w:kern w:val="0"/>
                <w:sz w:val="18"/>
                <w:szCs w:val="18"/>
              </w:rPr>
            </w:pPr>
            <w:r>
              <w:rPr>
                <w:rFonts w:hint="eastAsia" w:ascii="宋体" w:hAnsi="宋体"/>
                <w:kern w:val="0"/>
                <w:sz w:val="18"/>
                <w:szCs w:val="18"/>
              </w:rPr>
              <w:t>10.33</w:t>
            </w:r>
          </w:p>
        </w:tc>
        <w:tc>
          <w:tcPr>
            <w:tcW w:w="892" w:type="dxa"/>
            <w:vMerge w:val="continue"/>
            <w:tcBorders>
              <w:top w:val="nil"/>
              <w:left w:val="single" w:color="auto" w:sz="4" w:space="0"/>
              <w:bottom w:val="single" w:color="auto" w:sz="4" w:space="0"/>
              <w:right w:val="single" w:color="auto" w:sz="4" w:space="0"/>
            </w:tcBorders>
            <w:vAlign w:val="center"/>
          </w:tcPr>
          <w:p w14:paraId="73B0B4DA">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26B8E048">
            <w:pPr>
              <w:widowControl/>
              <w:jc w:val="left"/>
              <w:rPr>
                <w:rFonts w:ascii="宋体" w:hAnsi="宋体"/>
                <w:b/>
                <w:bCs/>
                <w:kern w:val="0"/>
                <w:sz w:val="18"/>
                <w:szCs w:val="18"/>
              </w:rPr>
            </w:pPr>
          </w:p>
        </w:tc>
      </w:tr>
      <w:tr w14:paraId="35D3FFEA">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6996E46B">
            <w:pPr>
              <w:widowControl/>
              <w:jc w:val="center"/>
              <w:rPr>
                <w:rFonts w:ascii="宋体" w:hAnsi="宋体"/>
                <w:kern w:val="0"/>
                <w:sz w:val="18"/>
                <w:szCs w:val="18"/>
              </w:rPr>
            </w:pPr>
            <w:r>
              <w:rPr>
                <w:rFonts w:hint="eastAsia" w:ascii="宋体" w:hAnsi="宋体"/>
                <w:kern w:val="0"/>
                <w:sz w:val="18"/>
                <w:szCs w:val="18"/>
              </w:rPr>
              <w:t>9</w:t>
            </w:r>
          </w:p>
        </w:tc>
        <w:tc>
          <w:tcPr>
            <w:tcW w:w="3191" w:type="dxa"/>
            <w:tcBorders>
              <w:top w:val="nil"/>
              <w:left w:val="nil"/>
              <w:bottom w:val="single" w:color="auto" w:sz="4" w:space="0"/>
              <w:right w:val="single" w:color="auto" w:sz="4" w:space="0"/>
            </w:tcBorders>
            <w:shd w:val="clear" w:color="auto" w:fill="auto"/>
            <w:vAlign w:val="center"/>
          </w:tcPr>
          <w:p w14:paraId="2E451DA1">
            <w:pPr>
              <w:widowControl/>
              <w:jc w:val="center"/>
              <w:rPr>
                <w:rFonts w:ascii="宋体" w:hAnsi="宋体"/>
                <w:kern w:val="0"/>
                <w:sz w:val="18"/>
                <w:szCs w:val="18"/>
              </w:rPr>
            </w:pPr>
            <w:r>
              <w:rPr>
                <w:rFonts w:hint="eastAsia" w:ascii="宋体" w:hAnsi="宋体"/>
                <w:kern w:val="0"/>
                <w:sz w:val="18"/>
                <w:szCs w:val="18"/>
              </w:rPr>
              <w:t>S305忻城肯索至思练街头</w:t>
            </w:r>
          </w:p>
        </w:tc>
        <w:tc>
          <w:tcPr>
            <w:tcW w:w="848" w:type="dxa"/>
            <w:tcBorders>
              <w:top w:val="nil"/>
              <w:left w:val="nil"/>
              <w:bottom w:val="single" w:color="auto" w:sz="4" w:space="0"/>
              <w:right w:val="single" w:color="auto" w:sz="4" w:space="0"/>
            </w:tcBorders>
            <w:shd w:val="clear" w:color="auto" w:fill="auto"/>
            <w:vAlign w:val="center"/>
          </w:tcPr>
          <w:p w14:paraId="0C9368AE">
            <w:pPr>
              <w:widowControl/>
              <w:jc w:val="center"/>
              <w:rPr>
                <w:rFonts w:ascii="宋体" w:hAnsi="宋体"/>
                <w:kern w:val="0"/>
                <w:sz w:val="18"/>
                <w:szCs w:val="18"/>
              </w:rPr>
            </w:pPr>
            <w:r>
              <w:rPr>
                <w:rFonts w:hint="eastAsia" w:ascii="宋体" w:hAnsi="宋体"/>
                <w:kern w:val="0"/>
                <w:sz w:val="18"/>
                <w:szCs w:val="18"/>
              </w:rPr>
              <w:t>修复养护</w:t>
            </w:r>
          </w:p>
        </w:tc>
        <w:tc>
          <w:tcPr>
            <w:tcW w:w="1100" w:type="dxa"/>
            <w:tcBorders>
              <w:top w:val="nil"/>
              <w:left w:val="nil"/>
              <w:bottom w:val="single" w:color="auto" w:sz="4" w:space="0"/>
              <w:right w:val="single" w:color="auto" w:sz="4" w:space="0"/>
            </w:tcBorders>
            <w:shd w:val="clear" w:color="auto" w:fill="auto"/>
            <w:vAlign w:val="center"/>
          </w:tcPr>
          <w:p w14:paraId="7FE64B80">
            <w:pPr>
              <w:widowControl/>
              <w:jc w:val="center"/>
              <w:rPr>
                <w:rFonts w:ascii="宋体" w:hAnsi="宋体"/>
                <w:kern w:val="0"/>
                <w:sz w:val="18"/>
                <w:szCs w:val="18"/>
              </w:rPr>
            </w:pPr>
            <w:r>
              <w:rPr>
                <w:rFonts w:hint="eastAsia" w:ascii="宋体" w:hAnsi="宋体"/>
                <w:kern w:val="0"/>
                <w:sz w:val="18"/>
                <w:szCs w:val="18"/>
              </w:rPr>
              <w:t>50</w:t>
            </w:r>
          </w:p>
        </w:tc>
        <w:tc>
          <w:tcPr>
            <w:tcW w:w="1100" w:type="dxa"/>
            <w:tcBorders>
              <w:top w:val="nil"/>
              <w:left w:val="nil"/>
              <w:bottom w:val="single" w:color="auto" w:sz="4" w:space="0"/>
              <w:right w:val="single" w:color="auto" w:sz="4" w:space="0"/>
            </w:tcBorders>
            <w:shd w:val="clear" w:color="auto" w:fill="auto"/>
            <w:vAlign w:val="center"/>
          </w:tcPr>
          <w:p w14:paraId="17D50C3B">
            <w:pPr>
              <w:widowControl/>
              <w:jc w:val="center"/>
              <w:rPr>
                <w:rFonts w:ascii="宋体" w:hAnsi="宋体"/>
                <w:kern w:val="0"/>
                <w:sz w:val="18"/>
                <w:szCs w:val="18"/>
              </w:rPr>
            </w:pPr>
            <w:r>
              <w:rPr>
                <w:rFonts w:hint="eastAsia" w:ascii="宋体" w:hAnsi="宋体"/>
                <w:kern w:val="0"/>
                <w:sz w:val="18"/>
                <w:szCs w:val="18"/>
              </w:rPr>
              <w:t>50.874</w:t>
            </w:r>
          </w:p>
        </w:tc>
        <w:tc>
          <w:tcPr>
            <w:tcW w:w="848" w:type="dxa"/>
            <w:tcBorders>
              <w:top w:val="nil"/>
              <w:left w:val="nil"/>
              <w:bottom w:val="single" w:color="auto" w:sz="4" w:space="0"/>
              <w:right w:val="single" w:color="auto" w:sz="4" w:space="0"/>
            </w:tcBorders>
            <w:shd w:val="clear" w:color="auto" w:fill="auto"/>
            <w:vAlign w:val="center"/>
          </w:tcPr>
          <w:p w14:paraId="578FD52C">
            <w:pPr>
              <w:widowControl/>
              <w:jc w:val="center"/>
              <w:rPr>
                <w:rFonts w:ascii="宋体" w:hAnsi="宋体"/>
                <w:kern w:val="0"/>
                <w:sz w:val="18"/>
                <w:szCs w:val="18"/>
              </w:rPr>
            </w:pPr>
            <w:r>
              <w:rPr>
                <w:rFonts w:hint="eastAsia" w:ascii="宋体" w:hAnsi="宋体"/>
                <w:kern w:val="0"/>
                <w:sz w:val="18"/>
                <w:szCs w:val="18"/>
              </w:rPr>
              <w:t>二级</w:t>
            </w:r>
          </w:p>
        </w:tc>
        <w:tc>
          <w:tcPr>
            <w:tcW w:w="848" w:type="dxa"/>
            <w:tcBorders>
              <w:top w:val="nil"/>
              <w:left w:val="nil"/>
              <w:bottom w:val="single" w:color="auto" w:sz="4" w:space="0"/>
              <w:right w:val="single" w:color="auto" w:sz="4" w:space="0"/>
            </w:tcBorders>
            <w:shd w:val="clear" w:color="auto" w:fill="auto"/>
            <w:vAlign w:val="center"/>
          </w:tcPr>
          <w:p w14:paraId="16D22617">
            <w:pPr>
              <w:widowControl/>
              <w:jc w:val="center"/>
              <w:rPr>
                <w:rFonts w:ascii="宋体" w:hAnsi="宋体"/>
                <w:kern w:val="0"/>
                <w:sz w:val="18"/>
                <w:szCs w:val="18"/>
              </w:rPr>
            </w:pPr>
            <w:r>
              <w:rPr>
                <w:rFonts w:hint="eastAsia" w:ascii="宋体" w:hAnsi="宋体"/>
                <w:kern w:val="0"/>
                <w:sz w:val="18"/>
                <w:szCs w:val="18"/>
              </w:rPr>
              <w:t>水泥</w:t>
            </w:r>
          </w:p>
        </w:tc>
        <w:tc>
          <w:tcPr>
            <w:tcW w:w="888" w:type="dxa"/>
            <w:tcBorders>
              <w:top w:val="nil"/>
              <w:left w:val="nil"/>
              <w:bottom w:val="single" w:color="auto" w:sz="4" w:space="0"/>
              <w:right w:val="single" w:color="auto" w:sz="4" w:space="0"/>
            </w:tcBorders>
            <w:shd w:val="clear" w:color="auto" w:fill="auto"/>
            <w:vAlign w:val="center"/>
          </w:tcPr>
          <w:p w14:paraId="37E2CD38">
            <w:pPr>
              <w:widowControl/>
              <w:jc w:val="center"/>
              <w:rPr>
                <w:rFonts w:ascii="宋体" w:hAnsi="宋体"/>
                <w:kern w:val="0"/>
                <w:sz w:val="18"/>
                <w:szCs w:val="18"/>
              </w:rPr>
            </w:pPr>
            <w:r>
              <w:rPr>
                <w:rFonts w:hint="eastAsia" w:ascii="宋体" w:hAnsi="宋体"/>
                <w:kern w:val="0"/>
                <w:sz w:val="18"/>
                <w:szCs w:val="18"/>
              </w:rPr>
              <w:t>0.874</w:t>
            </w:r>
          </w:p>
        </w:tc>
        <w:tc>
          <w:tcPr>
            <w:tcW w:w="848" w:type="dxa"/>
            <w:tcBorders>
              <w:top w:val="nil"/>
              <w:left w:val="nil"/>
              <w:bottom w:val="single" w:color="auto" w:sz="4" w:space="0"/>
              <w:right w:val="single" w:color="auto" w:sz="4" w:space="0"/>
            </w:tcBorders>
            <w:shd w:val="clear" w:color="auto" w:fill="auto"/>
            <w:vAlign w:val="center"/>
          </w:tcPr>
          <w:p w14:paraId="42E7467F">
            <w:pPr>
              <w:widowControl/>
              <w:jc w:val="center"/>
              <w:rPr>
                <w:rFonts w:ascii="宋体" w:hAnsi="宋体"/>
                <w:kern w:val="0"/>
                <w:sz w:val="18"/>
                <w:szCs w:val="18"/>
              </w:rPr>
            </w:pPr>
            <w:r>
              <w:rPr>
                <w:rFonts w:hint="eastAsia" w:ascii="宋体" w:hAnsi="宋体"/>
                <w:kern w:val="0"/>
                <w:sz w:val="18"/>
                <w:szCs w:val="18"/>
              </w:rPr>
              <w:t>7.5</w:t>
            </w:r>
          </w:p>
        </w:tc>
        <w:tc>
          <w:tcPr>
            <w:tcW w:w="848" w:type="dxa"/>
            <w:tcBorders>
              <w:top w:val="nil"/>
              <w:left w:val="nil"/>
              <w:bottom w:val="single" w:color="auto" w:sz="4" w:space="0"/>
              <w:right w:val="single" w:color="auto" w:sz="4" w:space="0"/>
            </w:tcBorders>
            <w:shd w:val="clear" w:color="auto" w:fill="auto"/>
            <w:vAlign w:val="center"/>
          </w:tcPr>
          <w:p w14:paraId="00508298">
            <w:pPr>
              <w:widowControl/>
              <w:jc w:val="center"/>
              <w:rPr>
                <w:rFonts w:ascii="宋体" w:hAnsi="宋体"/>
                <w:kern w:val="0"/>
                <w:sz w:val="18"/>
                <w:szCs w:val="18"/>
              </w:rPr>
            </w:pPr>
            <w:r>
              <w:rPr>
                <w:rFonts w:hint="eastAsia" w:ascii="宋体" w:hAnsi="宋体"/>
                <w:kern w:val="0"/>
                <w:sz w:val="18"/>
                <w:szCs w:val="18"/>
              </w:rPr>
              <w:t>95</w:t>
            </w:r>
          </w:p>
        </w:tc>
        <w:tc>
          <w:tcPr>
            <w:tcW w:w="1304" w:type="dxa"/>
            <w:tcBorders>
              <w:top w:val="nil"/>
              <w:left w:val="nil"/>
              <w:bottom w:val="single" w:color="auto" w:sz="4" w:space="0"/>
              <w:right w:val="single" w:color="auto" w:sz="4" w:space="0"/>
            </w:tcBorders>
            <w:shd w:val="clear" w:color="auto" w:fill="auto"/>
            <w:vAlign w:val="center"/>
          </w:tcPr>
          <w:p w14:paraId="4F75380D">
            <w:pPr>
              <w:widowControl/>
              <w:jc w:val="center"/>
              <w:rPr>
                <w:rFonts w:ascii="宋体" w:hAnsi="宋体"/>
                <w:kern w:val="0"/>
                <w:sz w:val="18"/>
                <w:szCs w:val="18"/>
              </w:rPr>
            </w:pPr>
            <w:r>
              <w:rPr>
                <w:rFonts w:hint="eastAsia" w:ascii="宋体" w:hAnsi="宋体"/>
                <w:kern w:val="0"/>
                <w:sz w:val="18"/>
                <w:szCs w:val="18"/>
              </w:rPr>
              <w:t>忻城公路养护中心</w:t>
            </w:r>
          </w:p>
        </w:tc>
        <w:tc>
          <w:tcPr>
            <w:tcW w:w="1000" w:type="dxa"/>
            <w:tcBorders>
              <w:top w:val="nil"/>
              <w:left w:val="nil"/>
              <w:bottom w:val="single" w:color="auto" w:sz="4" w:space="0"/>
              <w:right w:val="single" w:color="auto" w:sz="4" w:space="0"/>
            </w:tcBorders>
            <w:shd w:val="clear" w:color="auto" w:fill="auto"/>
            <w:noWrap/>
            <w:vAlign w:val="center"/>
          </w:tcPr>
          <w:p w14:paraId="58B0AE24">
            <w:pPr>
              <w:widowControl/>
              <w:jc w:val="center"/>
              <w:rPr>
                <w:rFonts w:ascii="宋体" w:hAnsi="宋体"/>
                <w:kern w:val="0"/>
                <w:sz w:val="18"/>
                <w:szCs w:val="18"/>
              </w:rPr>
            </w:pPr>
            <w:r>
              <w:rPr>
                <w:rFonts w:hint="eastAsia" w:ascii="宋体" w:hAnsi="宋体"/>
                <w:kern w:val="0"/>
                <w:sz w:val="18"/>
                <w:szCs w:val="18"/>
              </w:rPr>
              <w:t>87.4</w:t>
            </w:r>
          </w:p>
        </w:tc>
        <w:tc>
          <w:tcPr>
            <w:tcW w:w="892" w:type="dxa"/>
            <w:tcBorders>
              <w:top w:val="nil"/>
              <w:left w:val="nil"/>
              <w:bottom w:val="single" w:color="auto" w:sz="4" w:space="0"/>
              <w:right w:val="single" w:color="auto" w:sz="4" w:space="0"/>
            </w:tcBorders>
            <w:shd w:val="clear" w:color="auto" w:fill="auto"/>
            <w:vAlign w:val="center"/>
          </w:tcPr>
          <w:p w14:paraId="3A65F98E">
            <w:pPr>
              <w:widowControl/>
              <w:jc w:val="center"/>
              <w:rPr>
                <w:rFonts w:ascii="宋体" w:hAnsi="宋体"/>
                <w:kern w:val="0"/>
                <w:sz w:val="18"/>
                <w:szCs w:val="18"/>
              </w:rPr>
            </w:pPr>
            <w:r>
              <w:rPr>
                <w:rFonts w:hint="eastAsia" w:ascii="宋体" w:hAnsi="宋体"/>
                <w:kern w:val="0"/>
                <w:sz w:val="18"/>
                <w:szCs w:val="18"/>
              </w:rPr>
              <w:t>2.7</w:t>
            </w:r>
          </w:p>
        </w:tc>
        <w:tc>
          <w:tcPr>
            <w:tcW w:w="892" w:type="dxa"/>
            <w:vMerge w:val="continue"/>
            <w:tcBorders>
              <w:top w:val="nil"/>
              <w:left w:val="single" w:color="auto" w:sz="4" w:space="0"/>
              <w:bottom w:val="single" w:color="auto" w:sz="4" w:space="0"/>
              <w:right w:val="single" w:color="auto" w:sz="4" w:space="0"/>
            </w:tcBorders>
            <w:vAlign w:val="center"/>
          </w:tcPr>
          <w:p w14:paraId="154437F2">
            <w:pPr>
              <w:widowControl/>
              <w:jc w:val="left"/>
              <w:rPr>
                <w:rFonts w:ascii="宋体" w:hAnsi="宋体"/>
                <w:b/>
                <w:bCs/>
                <w:kern w:val="0"/>
                <w:sz w:val="18"/>
                <w:szCs w:val="18"/>
              </w:rPr>
            </w:pPr>
          </w:p>
        </w:tc>
        <w:tc>
          <w:tcPr>
            <w:tcW w:w="851" w:type="dxa"/>
            <w:vMerge w:val="continue"/>
            <w:tcBorders>
              <w:top w:val="nil"/>
              <w:left w:val="single" w:color="auto" w:sz="4" w:space="0"/>
              <w:bottom w:val="single" w:color="auto" w:sz="4" w:space="0"/>
              <w:right w:val="single" w:color="auto" w:sz="4" w:space="0"/>
            </w:tcBorders>
            <w:vAlign w:val="center"/>
          </w:tcPr>
          <w:p w14:paraId="0F77CD31">
            <w:pPr>
              <w:widowControl/>
              <w:jc w:val="left"/>
              <w:rPr>
                <w:rFonts w:ascii="宋体" w:hAnsi="宋体"/>
                <w:b/>
                <w:bCs/>
                <w:kern w:val="0"/>
                <w:sz w:val="18"/>
                <w:szCs w:val="18"/>
              </w:rPr>
            </w:pPr>
          </w:p>
        </w:tc>
      </w:tr>
      <w:tr w14:paraId="569468F4">
        <w:tblPrEx>
          <w:tblCellMar>
            <w:top w:w="0" w:type="dxa"/>
            <w:left w:w="108" w:type="dxa"/>
            <w:bottom w:w="0" w:type="dxa"/>
            <w:right w:w="108" w:type="dxa"/>
          </w:tblCellMar>
        </w:tblPrEx>
        <w:trPr>
          <w:trHeight w:val="351" w:hRule="atLeast"/>
        </w:trPr>
        <w:tc>
          <w:tcPr>
            <w:tcW w:w="236" w:type="dxa"/>
            <w:tcBorders>
              <w:top w:val="nil"/>
              <w:left w:val="single" w:color="auto" w:sz="4" w:space="0"/>
              <w:bottom w:val="single" w:color="auto" w:sz="4" w:space="0"/>
              <w:right w:val="single" w:color="auto" w:sz="4" w:space="0"/>
            </w:tcBorders>
            <w:shd w:val="clear" w:color="auto" w:fill="auto"/>
            <w:vAlign w:val="center"/>
          </w:tcPr>
          <w:p w14:paraId="0BBF92A8">
            <w:pPr>
              <w:widowControl/>
              <w:jc w:val="left"/>
              <w:rPr>
                <w:rFonts w:cs="Calibri"/>
                <w:kern w:val="0"/>
                <w:sz w:val="18"/>
                <w:szCs w:val="18"/>
              </w:rPr>
            </w:pPr>
            <w:r>
              <w:rPr>
                <w:rFonts w:cs="Calibri"/>
                <w:kern w:val="0"/>
                <w:sz w:val="18"/>
                <w:szCs w:val="18"/>
              </w:rPr>
              <w:t>　</w:t>
            </w:r>
          </w:p>
        </w:tc>
        <w:tc>
          <w:tcPr>
            <w:tcW w:w="3191" w:type="dxa"/>
            <w:tcBorders>
              <w:top w:val="nil"/>
              <w:left w:val="nil"/>
              <w:bottom w:val="single" w:color="auto" w:sz="4" w:space="0"/>
              <w:right w:val="single" w:color="auto" w:sz="4" w:space="0"/>
            </w:tcBorders>
            <w:shd w:val="clear" w:color="auto" w:fill="auto"/>
            <w:vAlign w:val="center"/>
          </w:tcPr>
          <w:p w14:paraId="1D2D09BA">
            <w:pPr>
              <w:widowControl/>
              <w:jc w:val="center"/>
              <w:rPr>
                <w:rFonts w:ascii="宋体" w:hAnsi="宋体"/>
                <w:b/>
                <w:bCs/>
                <w:kern w:val="0"/>
                <w:sz w:val="18"/>
                <w:szCs w:val="18"/>
              </w:rPr>
            </w:pPr>
            <w:r>
              <w:rPr>
                <w:rFonts w:hint="eastAsia" w:ascii="宋体" w:hAnsi="宋体"/>
                <w:b/>
                <w:bCs/>
                <w:kern w:val="0"/>
                <w:sz w:val="18"/>
                <w:szCs w:val="18"/>
              </w:rPr>
              <w:t>NO.B标段合计</w:t>
            </w:r>
          </w:p>
        </w:tc>
        <w:tc>
          <w:tcPr>
            <w:tcW w:w="848" w:type="dxa"/>
            <w:tcBorders>
              <w:top w:val="nil"/>
              <w:left w:val="nil"/>
              <w:bottom w:val="single" w:color="auto" w:sz="4" w:space="0"/>
              <w:right w:val="single" w:color="auto" w:sz="4" w:space="0"/>
            </w:tcBorders>
            <w:shd w:val="clear" w:color="auto" w:fill="auto"/>
            <w:vAlign w:val="center"/>
          </w:tcPr>
          <w:p w14:paraId="78BFB7E3">
            <w:pPr>
              <w:widowControl/>
              <w:jc w:val="left"/>
              <w:rPr>
                <w:rFonts w:cs="Calibri"/>
                <w:kern w:val="0"/>
                <w:sz w:val="18"/>
                <w:szCs w:val="18"/>
              </w:rPr>
            </w:pPr>
            <w:r>
              <w:rPr>
                <w:rFonts w:cs="Calibri"/>
                <w:kern w:val="0"/>
                <w:sz w:val="18"/>
                <w:szCs w:val="18"/>
              </w:rPr>
              <w:t>　</w:t>
            </w:r>
          </w:p>
        </w:tc>
        <w:tc>
          <w:tcPr>
            <w:tcW w:w="1100" w:type="dxa"/>
            <w:tcBorders>
              <w:top w:val="nil"/>
              <w:left w:val="nil"/>
              <w:bottom w:val="single" w:color="auto" w:sz="4" w:space="0"/>
              <w:right w:val="single" w:color="auto" w:sz="4" w:space="0"/>
            </w:tcBorders>
            <w:shd w:val="clear" w:color="auto" w:fill="auto"/>
            <w:vAlign w:val="center"/>
          </w:tcPr>
          <w:p w14:paraId="55FB894C">
            <w:pPr>
              <w:widowControl/>
              <w:jc w:val="left"/>
              <w:rPr>
                <w:rFonts w:cs="Calibri"/>
                <w:kern w:val="0"/>
                <w:sz w:val="18"/>
                <w:szCs w:val="18"/>
              </w:rPr>
            </w:pPr>
            <w:r>
              <w:rPr>
                <w:rFonts w:cs="Calibri"/>
                <w:kern w:val="0"/>
                <w:sz w:val="18"/>
                <w:szCs w:val="18"/>
              </w:rPr>
              <w:t>　</w:t>
            </w:r>
          </w:p>
        </w:tc>
        <w:tc>
          <w:tcPr>
            <w:tcW w:w="1100" w:type="dxa"/>
            <w:tcBorders>
              <w:top w:val="nil"/>
              <w:left w:val="nil"/>
              <w:bottom w:val="single" w:color="auto" w:sz="4" w:space="0"/>
              <w:right w:val="single" w:color="auto" w:sz="4" w:space="0"/>
            </w:tcBorders>
            <w:shd w:val="clear" w:color="auto" w:fill="auto"/>
            <w:vAlign w:val="center"/>
          </w:tcPr>
          <w:p w14:paraId="2D39432F">
            <w:pPr>
              <w:widowControl/>
              <w:jc w:val="left"/>
              <w:rPr>
                <w:rFonts w:cs="Calibri"/>
                <w:kern w:val="0"/>
                <w:sz w:val="18"/>
                <w:szCs w:val="18"/>
              </w:rPr>
            </w:pPr>
            <w:r>
              <w:rPr>
                <w:rFonts w:cs="Calibri"/>
                <w:kern w:val="0"/>
                <w:sz w:val="18"/>
                <w:szCs w:val="18"/>
              </w:rPr>
              <w:t>　</w:t>
            </w:r>
          </w:p>
        </w:tc>
        <w:tc>
          <w:tcPr>
            <w:tcW w:w="848" w:type="dxa"/>
            <w:tcBorders>
              <w:top w:val="nil"/>
              <w:left w:val="nil"/>
              <w:bottom w:val="single" w:color="auto" w:sz="4" w:space="0"/>
              <w:right w:val="single" w:color="auto" w:sz="4" w:space="0"/>
            </w:tcBorders>
            <w:shd w:val="clear" w:color="auto" w:fill="auto"/>
            <w:vAlign w:val="center"/>
          </w:tcPr>
          <w:p w14:paraId="42DE80A0">
            <w:pPr>
              <w:widowControl/>
              <w:jc w:val="left"/>
              <w:rPr>
                <w:rFonts w:cs="Calibri"/>
                <w:kern w:val="0"/>
                <w:sz w:val="18"/>
                <w:szCs w:val="18"/>
              </w:rPr>
            </w:pPr>
            <w:r>
              <w:rPr>
                <w:rFonts w:cs="Calibri"/>
                <w:kern w:val="0"/>
                <w:sz w:val="18"/>
                <w:szCs w:val="18"/>
              </w:rPr>
              <w:t>　</w:t>
            </w:r>
          </w:p>
        </w:tc>
        <w:tc>
          <w:tcPr>
            <w:tcW w:w="848" w:type="dxa"/>
            <w:tcBorders>
              <w:top w:val="nil"/>
              <w:left w:val="nil"/>
              <w:bottom w:val="single" w:color="auto" w:sz="4" w:space="0"/>
              <w:right w:val="single" w:color="auto" w:sz="4" w:space="0"/>
            </w:tcBorders>
            <w:shd w:val="clear" w:color="auto" w:fill="auto"/>
            <w:vAlign w:val="center"/>
          </w:tcPr>
          <w:p w14:paraId="761314EF">
            <w:pPr>
              <w:widowControl/>
              <w:jc w:val="left"/>
              <w:rPr>
                <w:rFonts w:cs="Calibri"/>
                <w:kern w:val="0"/>
                <w:sz w:val="18"/>
                <w:szCs w:val="18"/>
              </w:rPr>
            </w:pPr>
            <w:r>
              <w:rPr>
                <w:rFonts w:cs="Calibri"/>
                <w:kern w:val="0"/>
                <w:sz w:val="18"/>
                <w:szCs w:val="18"/>
              </w:rPr>
              <w:t>　</w:t>
            </w:r>
          </w:p>
        </w:tc>
        <w:tc>
          <w:tcPr>
            <w:tcW w:w="888" w:type="dxa"/>
            <w:tcBorders>
              <w:top w:val="nil"/>
              <w:left w:val="nil"/>
              <w:bottom w:val="single" w:color="auto" w:sz="4" w:space="0"/>
              <w:right w:val="single" w:color="auto" w:sz="4" w:space="0"/>
            </w:tcBorders>
            <w:shd w:val="clear" w:color="auto" w:fill="auto"/>
            <w:vAlign w:val="center"/>
          </w:tcPr>
          <w:p w14:paraId="7AE72C0C">
            <w:pPr>
              <w:widowControl/>
              <w:jc w:val="center"/>
              <w:rPr>
                <w:rFonts w:ascii="宋体" w:hAnsi="宋体"/>
                <w:b/>
                <w:bCs/>
                <w:kern w:val="0"/>
                <w:sz w:val="18"/>
                <w:szCs w:val="18"/>
              </w:rPr>
            </w:pPr>
            <w:r>
              <w:rPr>
                <w:rFonts w:hint="eastAsia" w:ascii="宋体" w:hAnsi="宋体"/>
                <w:b/>
                <w:bCs/>
                <w:kern w:val="0"/>
                <w:sz w:val="18"/>
                <w:szCs w:val="18"/>
              </w:rPr>
              <w:t>6.832</w:t>
            </w:r>
          </w:p>
        </w:tc>
        <w:tc>
          <w:tcPr>
            <w:tcW w:w="848" w:type="dxa"/>
            <w:tcBorders>
              <w:top w:val="nil"/>
              <w:left w:val="nil"/>
              <w:bottom w:val="single" w:color="auto" w:sz="4" w:space="0"/>
              <w:right w:val="single" w:color="auto" w:sz="4" w:space="0"/>
            </w:tcBorders>
            <w:shd w:val="clear" w:color="auto" w:fill="auto"/>
            <w:vAlign w:val="center"/>
          </w:tcPr>
          <w:p w14:paraId="06731084">
            <w:pPr>
              <w:widowControl/>
              <w:jc w:val="center"/>
              <w:rPr>
                <w:rFonts w:ascii="宋体" w:hAnsi="宋体"/>
                <w:b/>
                <w:bCs/>
                <w:kern w:val="0"/>
                <w:sz w:val="18"/>
                <w:szCs w:val="18"/>
              </w:rPr>
            </w:pPr>
            <w:r>
              <w:rPr>
                <w:rFonts w:hint="eastAsia" w:ascii="宋体" w:hAnsi="宋体"/>
                <w:b/>
                <w:bCs/>
                <w:kern w:val="0"/>
                <w:sz w:val="18"/>
                <w:szCs w:val="18"/>
              </w:rPr>
              <w:t>37.5</w:t>
            </w:r>
          </w:p>
        </w:tc>
        <w:tc>
          <w:tcPr>
            <w:tcW w:w="848" w:type="dxa"/>
            <w:tcBorders>
              <w:top w:val="nil"/>
              <w:left w:val="nil"/>
              <w:bottom w:val="single" w:color="auto" w:sz="4" w:space="0"/>
              <w:right w:val="single" w:color="auto" w:sz="4" w:space="0"/>
            </w:tcBorders>
            <w:shd w:val="clear" w:color="auto" w:fill="auto"/>
            <w:vAlign w:val="center"/>
          </w:tcPr>
          <w:p w14:paraId="1EE36FC4">
            <w:pPr>
              <w:widowControl/>
              <w:jc w:val="center"/>
              <w:rPr>
                <w:rFonts w:ascii="宋体" w:hAnsi="宋体"/>
                <w:b/>
                <w:bCs/>
                <w:kern w:val="0"/>
                <w:sz w:val="18"/>
                <w:szCs w:val="18"/>
              </w:rPr>
            </w:pPr>
            <w:r>
              <w:rPr>
                <w:rFonts w:hint="eastAsia" w:ascii="宋体" w:hAnsi="宋体"/>
                <w:b/>
                <w:bCs/>
                <w:kern w:val="0"/>
                <w:sz w:val="18"/>
                <w:szCs w:val="18"/>
              </w:rPr>
              <w:t>1684</w:t>
            </w:r>
          </w:p>
        </w:tc>
        <w:tc>
          <w:tcPr>
            <w:tcW w:w="1304" w:type="dxa"/>
            <w:tcBorders>
              <w:top w:val="nil"/>
              <w:left w:val="nil"/>
              <w:bottom w:val="single" w:color="auto" w:sz="4" w:space="0"/>
              <w:right w:val="single" w:color="auto" w:sz="4" w:space="0"/>
            </w:tcBorders>
            <w:shd w:val="clear" w:color="auto" w:fill="auto"/>
            <w:vAlign w:val="center"/>
          </w:tcPr>
          <w:p w14:paraId="495C068C">
            <w:pPr>
              <w:widowControl/>
              <w:jc w:val="center"/>
              <w:rPr>
                <w:rFonts w:ascii="宋体" w:hAnsi="宋体"/>
                <w:b/>
                <w:bCs/>
                <w:kern w:val="0"/>
                <w:sz w:val="18"/>
                <w:szCs w:val="18"/>
              </w:rPr>
            </w:pPr>
            <w:r>
              <w:rPr>
                <w:rFonts w:hint="eastAsia" w:ascii="宋体" w:hAnsi="宋体"/>
                <w:b/>
                <w:bCs/>
                <w:kern w:val="0"/>
                <w:sz w:val="18"/>
                <w:szCs w:val="18"/>
              </w:rPr>
              <w:t>0</w:t>
            </w:r>
          </w:p>
        </w:tc>
        <w:tc>
          <w:tcPr>
            <w:tcW w:w="1000" w:type="dxa"/>
            <w:tcBorders>
              <w:top w:val="nil"/>
              <w:left w:val="nil"/>
              <w:bottom w:val="single" w:color="auto" w:sz="4" w:space="0"/>
              <w:right w:val="single" w:color="auto" w:sz="4" w:space="0"/>
            </w:tcBorders>
            <w:shd w:val="clear" w:color="auto" w:fill="auto"/>
            <w:vAlign w:val="center"/>
          </w:tcPr>
          <w:p w14:paraId="0CA72A12">
            <w:pPr>
              <w:widowControl/>
              <w:jc w:val="center"/>
              <w:rPr>
                <w:rFonts w:ascii="宋体" w:hAnsi="宋体"/>
                <w:b/>
                <w:bCs/>
                <w:kern w:val="0"/>
                <w:sz w:val="18"/>
                <w:szCs w:val="18"/>
              </w:rPr>
            </w:pPr>
            <w:r>
              <w:rPr>
                <w:rFonts w:hint="eastAsia" w:ascii="宋体" w:hAnsi="宋体"/>
                <w:b/>
                <w:bCs/>
                <w:kern w:val="0"/>
                <w:sz w:val="18"/>
                <w:szCs w:val="18"/>
              </w:rPr>
              <w:t>1549.28</w:t>
            </w:r>
          </w:p>
        </w:tc>
        <w:tc>
          <w:tcPr>
            <w:tcW w:w="892" w:type="dxa"/>
            <w:tcBorders>
              <w:top w:val="nil"/>
              <w:left w:val="nil"/>
              <w:bottom w:val="single" w:color="auto" w:sz="4" w:space="0"/>
              <w:right w:val="single" w:color="auto" w:sz="4" w:space="0"/>
            </w:tcBorders>
            <w:shd w:val="clear" w:color="auto" w:fill="auto"/>
            <w:vAlign w:val="center"/>
          </w:tcPr>
          <w:p w14:paraId="3E74F45C">
            <w:pPr>
              <w:widowControl/>
              <w:jc w:val="center"/>
              <w:rPr>
                <w:rFonts w:ascii="宋体" w:hAnsi="宋体"/>
                <w:b/>
                <w:bCs/>
                <w:kern w:val="0"/>
                <w:sz w:val="18"/>
                <w:szCs w:val="18"/>
              </w:rPr>
            </w:pPr>
            <w:r>
              <w:rPr>
                <w:rFonts w:hint="eastAsia" w:ascii="宋体" w:hAnsi="宋体"/>
                <w:b/>
                <w:bCs/>
                <w:kern w:val="0"/>
                <w:sz w:val="18"/>
                <w:szCs w:val="18"/>
              </w:rPr>
              <w:t xml:space="preserve">32.8 </w:t>
            </w:r>
          </w:p>
        </w:tc>
        <w:tc>
          <w:tcPr>
            <w:tcW w:w="892" w:type="dxa"/>
            <w:tcBorders>
              <w:top w:val="nil"/>
              <w:left w:val="nil"/>
              <w:bottom w:val="single" w:color="auto" w:sz="4" w:space="0"/>
              <w:right w:val="single" w:color="auto" w:sz="4" w:space="0"/>
            </w:tcBorders>
            <w:shd w:val="clear" w:color="auto" w:fill="auto"/>
            <w:vAlign w:val="center"/>
          </w:tcPr>
          <w:p w14:paraId="4F4BF460">
            <w:pPr>
              <w:widowControl/>
              <w:jc w:val="right"/>
              <w:rPr>
                <w:rFonts w:ascii="宋体" w:hAnsi="宋体"/>
                <w:b/>
                <w:bCs/>
                <w:kern w:val="0"/>
                <w:sz w:val="18"/>
                <w:szCs w:val="18"/>
              </w:rPr>
            </w:pPr>
            <w:r>
              <w:rPr>
                <w:rFonts w:hint="eastAsia" w:ascii="宋体" w:hAnsi="宋体"/>
                <w:b/>
                <w:bCs/>
                <w:kern w:val="0"/>
                <w:sz w:val="18"/>
                <w:szCs w:val="18"/>
              </w:rPr>
              <w:t xml:space="preserve">32.8 </w:t>
            </w:r>
          </w:p>
        </w:tc>
        <w:tc>
          <w:tcPr>
            <w:tcW w:w="851" w:type="dxa"/>
            <w:tcBorders>
              <w:top w:val="nil"/>
              <w:left w:val="nil"/>
              <w:bottom w:val="single" w:color="auto" w:sz="4" w:space="0"/>
              <w:right w:val="single" w:color="auto" w:sz="4" w:space="0"/>
            </w:tcBorders>
            <w:shd w:val="clear" w:color="auto" w:fill="auto"/>
            <w:noWrap/>
            <w:vAlign w:val="center"/>
          </w:tcPr>
          <w:p w14:paraId="34F0C3B0">
            <w:pPr>
              <w:widowControl/>
              <w:jc w:val="left"/>
              <w:rPr>
                <w:rFonts w:ascii="宋体" w:hAnsi="宋体"/>
                <w:b/>
                <w:bCs/>
                <w:kern w:val="0"/>
                <w:sz w:val="18"/>
                <w:szCs w:val="18"/>
              </w:rPr>
            </w:pPr>
            <w:r>
              <w:rPr>
                <w:rFonts w:hint="eastAsia" w:ascii="宋体" w:hAnsi="宋体"/>
                <w:b/>
                <w:bCs/>
                <w:kern w:val="0"/>
                <w:sz w:val="18"/>
                <w:szCs w:val="18"/>
              </w:rPr>
              <w:t>　</w:t>
            </w:r>
          </w:p>
        </w:tc>
      </w:tr>
      <w:tr w14:paraId="26CFDD6A">
        <w:tblPrEx>
          <w:tblCellMar>
            <w:top w:w="0" w:type="dxa"/>
            <w:left w:w="108" w:type="dxa"/>
            <w:bottom w:w="0" w:type="dxa"/>
            <w:right w:w="108" w:type="dxa"/>
          </w:tblCellMar>
        </w:tblPrEx>
        <w:trPr>
          <w:trHeight w:val="351" w:hRule="atLeast"/>
        </w:trPr>
        <w:tc>
          <w:tcPr>
            <w:tcW w:w="3427"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5F4885C">
            <w:pPr>
              <w:widowControl/>
              <w:jc w:val="center"/>
              <w:rPr>
                <w:rFonts w:ascii="宋体" w:hAnsi="宋体"/>
                <w:kern w:val="0"/>
                <w:sz w:val="18"/>
                <w:szCs w:val="18"/>
              </w:rPr>
            </w:pPr>
            <w:r>
              <w:rPr>
                <w:rFonts w:hint="eastAsia" w:ascii="宋体" w:hAnsi="宋体"/>
                <w:kern w:val="0"/>
                <w:sz w:val="18"/>
                <w:szCs w:val="18"/>
              </w:rPr>
              <w:t>标段设计费总计</w:t>
            </w:r>
          </w:p>
        </w:tc>
        <w:tc>
          <w:tcPr>
            <w:tcW w:w="848" w:type="dxa"/>
            <w:tcBorders>
              <w:top w:val="nil"/>
              <w:left w:val="nil"/>
              <w:bottom w:val="single" w:color="auto" w:sz="4" w:space="0"/>
              <w:right w:val="single" w:color="auto" w:sz="4" w:space="0"/>
            </w:tcBorders>
            <w:shd w:val="clear" w:color="auto" w:fill="auto"/>
            <w:noWrap/>
            <w:vAlign w:val="center"/>
          </w:tcPr>
          <w:p w14:paraId="43F3210E">
            <w:pPr>
              <w:widowControl/>
              <w:jc w:val="left"/>
              <w:rPr>
                <w:rFonts w:ascii="宋体" w:hAnsi="宋体"/>
                <w:kern w:val="0"/>
                <w:sz w:val="18"/>
                <w:szCs w:val="18"/>
              </w:rPr>
            </w:pPr>
            <w:r>
              <w:rPr>
                <w:rFonts w:hint="eastAsia" w:ascii="宋体" w:hAnsi="宋体"/>
                <w:kern w:val="0"/>
                <w:sz w:val="18"/>
                <w:szCs w:val="18"/>
              </w:rPr>
              <w:t>　</w:t>
            </w:r>
          </w:p>
        </w:tc>
        <w:tc>
          <w:tcPr>
            <w:tcW w:w="1100" w:type="dxa"/>
            <w:tcBorders>
              <w:top w:val="nil"/>
              <w:left w:val="nil"/>
              <w:bottom w:val="single" w:color="auto" w:sz="4" w:space="0"/>
              <w:right w:val="single" w:color="auto" w:sz="4" w:space="0"/>
            </w:tcBorders>
            <w:shd w:val="clear" w:color="auto" w:fill="auto"/>
            <w:noWrap/>
            <w:vAlign w:val="center"/>
          </w:tcPr>
          <w:p w14:paraId="2A440DF7">
            <w:pPr>
              <w:widowControl/>
              <w:jc w:val="left"/>
              <w:rPr>
                <w:rFonts w:ascii="宋体" w:hAnsi="宋体"/>
                <w:kern w:val="0"/>
                <w:sz w:val="18"/>
                <w:szCs w:val="18"/>
              </w:rPr>
            </w:pPr>
            <w:r>
              <w:rPr>
                <w:rFonts w:hint="eastAsia" w:ascii="宋体" w:hAnsi="宋体"/>
                <w:kern w:val="0"/>
                <w:sz w:val="18"/>
                <w:szCs w:val="18"/>
              </w:rPr>
              <w:t>　</w:t>
            </w:r>
          </w:p>
        </w:tc>
        <w:tc>
          <w:tcPr>
            <w:tcW w:w="1100" w:type="dxa"/>
            <w:tcBorders>
              <w:top w:val="nil"/>
              <w:left w:val="nil"/>
              <w:bottom w:val="single" w:color="auto" w:sz="4" w:space="0"/>
              <w:right w:val="single" w:color="auto" w:sz="4" w:space="0"/>
            </w:tcBorders>
            <w:shd w:val="clear" w:color="auto" w:fill="auto"/>
            <w:noWrap/>
            <w:vAlign w:val="center"/>
          </w:tcPr>
          <w:p w14:paraId="0F8EC9F5">
            <w:pPr>
              <w:widowControl/>
              <w:jc w:val="left"/>
              <w:rPr>
                <w:rFonts w:ascii="宋体" w:hAnsi="宋体"/>
                <w:kern w:val="0"/>
                <w:sz w:val="18"/>
                <w:szCs w:val="18"/>
              </w:rPr>
            </w:pPr>
            <w:r>
              <w:rPr>
                <w:rFonts w:hint="eastAsia" w:ascii="宋体" w:hAnsi="宋体"/>
                <w:kern w:val="0"/>
                <w:sz w:val="18"/>
                <w:szCs w:val="18"/>
              </w:rPr>
              <w:t>　</w:t>
            </w:r>
          </w:p>
        </w:tc>
        <w:tc>
          <w:tcPr>
            <w:tcW w:w="848" w:type="dxa"/>
            <w:tcBorders>
              <w:top w:val="nil"/>
              <w:left w:val="nil"/>
              <w:bottom w:val="single" w:color="auto" w:sz="4" w:space="0"/>
              <w:right w:val="single" w:color="auto" w:sz="4" w:space="0"/>
            </w:tcBorders>
            <w:shd w:val="clear" w:color="auto" w:fill="auto"/>
            <w:noWrap/>
            <w:vAlign w:val="center"/>
          </w:tcPr>
          <w:p w14:paraId="01DEF2C2">
            <w:pPr>
              <w:widowControl/>
              <w:jc w:val="left"/>
              <w:rPr>
                <w:rFonts w:ascii="宋体" w:hAnsi="宋体"/>
                <w:kern w:val="0"/>
                <w:sz w:val="18"/>
                <w:szCs w:val="18"/>
              </w:rPr>
            </w:pPr>
            <w:r>
              <w:rPr>
                <w:rFonts w:hint="eastAsia" w:ascii="宋体" w:hAnsi="宋体"/>
                <w:kern w:val="0"/>
                <w:sz w:val="18"/>
                <w:szCs w:val="18"/>
              </w:rPr>
              <w:t>　</w:t>
            </w:r>
          </w:p>
        </w:tc>
        <w:tc>
          <w:tcPr>
            <w:tcW w:w="848" w:type="dxa"/>
            <w:tcBorders>
              <w:top w:val="nil"/>
              <w:left w:val="nil"/>
              <w:bottom w:val="single" w:color="auto" w:sz="4" w:space="0"/>
              <w:right w:val="single" w:color="auto" w:sz="4" w:space="0"/>
            </w:tcBorders>
            <w:shd w:val="clear" w:color="auto" w:fill="auto"/>
            <w:noWrap/>
            <w:vAlign w:val="center"/>
          </w:tcPr>
          <w:p w14:paraId="7C3668F5">
            <w:pPr>
              <w:widowControl/>
              <w:jc w:val="left"/>
              <w:rPr>
                <w:rFonts w:ascii="宋体" w:hAnsi="宋体"/>
                <w:kern w:val="0"/>
                <w:sz w:val="18"/>
                <w:szCs w:val="18"/>
              </w:rPr>
            </w:pPr>
            <w:r>
              <w:rPr>
                <w:rFonts w:hint="eastAsia" w:ascii="宋体" w:hAnsi="宋体"/>
                <w:kern w:val="0"/>
                <w:sz w:val="18"/>
                <w:szCs w:val="18"/>
              </w:rPr>
              <w:t>　</w:t>
            </w:r>
          </w:p>
        </w:tc>
        <w:tc>
          <w:tcPr>
            <w:tcW w:w="888" w:type="dxa"/>
            <w:tcBorders>
              <w:top w:val="nil"/>
              <w:left w:val="nil"/>
              <w:bottom w:val="single" w:color="auto" w:sz="4" w:space="0"/>
              <w:right w:val="single" w:color="auto" w:sz="4" w:space="0"/>
            </w:tcBorders>
            <w:shd w:val="clear" w:color="auto" w:fill="auto"/>
            <w:noWrap/>
            <w:vAlign w:val="center"/>
          </w:tcPr>
          <w:p w14:paraId="39579DF4">
            <w:pPr>
              <w:widowControl/>
              <w:jc w:val="right"/>
              <w:rPr>
                <w:rFonts w:ascii="宋体" w:hAnsi="宋体"/>
                <w:kern w:val="0"/>
                <w:sz w:val="18"/>
                <w:szCs w:val="18"/>
              </w:rPr>
            </w:pPr>
            <w:r>
              <w:rPr>
                <w:rFonts w:hint="eastAsia" w:ascii="宋体" w:hAnsi="宋体"/>
                <w:kern w:val="0"/>
                <w:sz w:val="18"/>
                <w:szCs w:val="18"/>
              </w:rPr>
              <w:t>14.375</w:t>
            </w:r>
          </w:p>
        </w:tc>
        <w:tc>
          <w:tcPr>
            <w:tcW w:w="848" w:type="dxa"/>
            <w:tcBorders>
              <w:top w:val="nil"/>
              <w:left w:val="nil"/>
              <w:bottom w:val="single" w:color="auto" w:sz="4" w:space="0"/>
              <w:right w:val="single" w:color="auto" w:sz="4" w:space="0"/>
            </w:tcBorders>
            <w:shd w:val="clear" w:color="auto" w:fill="auto"/>
            <w:noWrap/>
            <w:vAlign w:val="center"/>
          </w:tcPr>
          <w:p w14:paraId="595173EC">
            <w:pPr>
              <w:widowControl/>
              <w:jc w:val="left"/>
              <w:rPr>
                <w:rFonts w:ascii="宋体" w:hAnsi="宋体"/>
                <w:kern w:val="0"/>
                <w:sz w:val="18"/>
                <w:szCs w:val="18"/>
              </w:rPr>
            </w:pPr>
            <w:r>
              <w:rPr>
                <w:rFonts w:hint="eastAsia" w:ascii="宋体" w:hAnsi="宋体"/>
                <w:kern w:val="0"/>
                <w:sz w:val="18"/>
                <w:szCs w:val="18"/>
              </w:rPr>
              <w:t>　</w:t>
            </w:r>
          </w:p>
        </w:tc>
        <w:tc>
          <w:tcPr>
            <w:tcW w:w="848" w:type="dxa"/>
            <w:tcBorders>
              <w:top w:val="nil"/>
              <w:left w:val="nil"/>
              <w:bottom w:val="single" w:color="auto" w:sz="4" w:space="0"/>
              <w:right w:val="single" w:color="auto" w:sz="4" w:space="0"/>
            </w:tcBorders>
            <w:shd w:val="clear" w:color="auto" w:fill="auto"/>
            <w:noWrap/>
            <w:vAlign w:val="center"/>
          </w:tcPr>
          <w:p w14:paraId="5FC0F04C">
            <w:pPr>
              <w:widowControl/>
              <w:jc w:val="right"/>
              <w:rPr>
                <w:rFonts w:ascii="宋体" w:hAnsi="宋体"/>
                <w:kern w:val="0"/>
                <w:sz w:val="18"/>
                <w:szCs w:val="18"/>
              </w:rPr>
            </w:pPr>
            <w:r>
              <w:rPr>
                <w:rFonts w:hint="eastAsia" w:ascii="宋体" w:hAnsi="宋体"/>
                <w:kern w:val="0"/>
                <w:sz w:val="18"/>
                <w:szCs w:val="18"/>
              </w:rPr>
              <w:t>3276</w:t>
            </w:r>
          </w:p>
        </w:tc>
        <w:tc>
          <w:tcPr>
            <w:tcW w:w="1304" w:type="dxa"/>
            <w:tcBorders>
              <w:top w:val="nil"/>
              <w:left w:val="nil"/>
              <w:bottom w:val="single" w:color="auto" w:sz="4" w:space="0"/>
              <w:right w:val="single" w:color="auto" w:sz="4" w:space="0"/>
            </w:tcBorders>
            <w:shd w:val="clear" w:color="auto" w:fill="auto"/>
            <w:noWrap/>
            <w:vAlign w:val="center"/>
          </w:tcPr>
          <w:p w14:paraId="3C757502">
            <w:pPr>
              <w:widowControl/>
              <w:jc w:val="right"/>
              <w:rPr>
                <w:rFonts w:ascii="宋体" w:hAnsi="宋体"/>
                <w:kern w:val="0"/>
                <w:sz w:val="18"/>
                <w:szCs w:val="18"/>
              </w:rPr>
            </w:pPr>
            <w:r>
              <w:rPr>
                <w:rFonts w:hint="eastAsia" w:ascii="宋体" w:hAnsi="宋体"/>
                <w:kern w:val="0"/>
                <w:sz w:val="18"/>
                <w:szCs w:val="18"/>
              </w:rPr>
              <w:t>0</w:t>
            </w:r>
          </w:p>
        </w:tc>
        <w:tc>
          <w:tcPr>
            <w:tcW w:w="1000" w:type="dxa"/>
            <w:tcBorders>
              <w:top w:val="nil"/>
              <w:left w:val="nil"/>
              <w:bottom w:val="single" w:color="auto" w:sz="4" w:space="0"/>
              <w:right w:val="single" w:color="auto" w:sz="4" w:space="0"/>
            </w:tcBorders>
            <w:shd w:val="clear" w:color="auto" w:fill="auto"/>
            <w:noWrap/>
            <w:vAlign w:val="center"/>
          </w:tcPr>
          <w:p w14:paraId="004B6B98">
            <w:pPr>
              <w:widowControl/>
              <w:jc w:val="right"/>
              <w:rPr>
                <w:rFonts w:ascii="宋体" w:hAnsi="宋体"/>
                <w:kern w:val="0"/>
                <w:sz w:val="18"/>
                <w:szCs w:val="18"/>
              </w:rPr>
            </w:pPr>
            <w:r>
              <w:rPr>
                <w:rFonts w:hint="eastAsia" w:ascii="宋体" w:hAnsi="宋体"/>
                <w:kern w:val="0"/>
                <w:sz w:val="18"/>
                <w:szCs w:val="18"/>
              </w:rPr>
              <w:t>3014</w:t>
            </w:r>
          </w:p>
        </w:tc>
        <w:tc>
          <w:tcPr>
            <w:tcW w:w="892" w:type="dxa"/>
            <w:tcBorders>
              <w:top w:val="nil"/>
              <w:left w:val="nil"/>
              <w:bottom w:val="single" w:color="auto" w:sz="4" w:space="0"/>
              <w:right w:val="single" w:color="auto" w:sz="4" w:space="0"/>
            </w:tcBorders>
            <w:shd w:val="clear" w:color="auto" w:fill="auto"/>
            <w:noWrap/>
            <w:vAlign w:val="center"/>
          </w:tcPr>
          <w:p w14:paraId="6296920C">
            <w:pPr>
              <w:widowControl/>
              <w:jc w:val="right"/>
              <w:rPr>
                <w:rFonts w:ascii="宋体" w:hAnsi="宋体"/>
                <w:kern w:val="0"/>
                <w:sz w:val="18"/>
                <w:szCs w:val="18"/>
              </w:rPr>
            </w:pPr>
            <w:r>
              <w:rPr>
                <w:rFonts w:hint="eastAsia" w:ascii="宋体" w:hAnsi="宋体"/>
                <w:kern w:val="0"/>
                <w:sz w:val="18"/>
                <w:szCs w:val="18"/>
              </w:rPr>
              <w:t xml:space="preserve">65.4 </w:t>
            </w:r>
          </w:p>
        </w:tc>
        <w:tc>
          <w:tcPr>
            <w:tcW w:w="892" w:type="dxa"/>
            <w:tcBorders>
              <w:top w:val="nil"/>
              <w:left w:val="nil"/>
              <w:bottom w:val="single" w:color="auto" w:sz="4" w:space="0"/>
              <w:right w:val="single" w:color="auto" w:sz="4" w:space="0"/>
            </w:tcBorders>
            <w:shd w:val="clear" w:color="auto" w:fill="auto"/>
            <w:noWrap/>
            <w:vAlign w:val="center"/>
          </w:tcPr>
          <w:p w14:paraId="77BB7D36">
            <w:pPr>
              <w:widowControl/>
              <w:jc w:val="right"/>
              <w:rPr>
                <w:rFonts w:ascii="宋体" w:hAnsi="宋体"/>
                <w:kern w:val="0"/>
                <w:sz w:val="18"/>
                <w:szCs w:val="18"/>
              </w:rPr>
            </w:pPr>
            <w:r>
              <w:rPr>
                <w:rFonts w:hint="eastAsia" w:ascii="宋体" w:hAnsi="宋体"/>
                <w:kern w:val="0"/>
                <w:sz w:val="18"/>
                <w:szCs w:val="18"/>
              </w:rPr>
              <w:t xml:space="preserve">65.4 </w:t>
            </w:r>
          </w:p>
        </w:tc>
        <w:tc>
          <w:tcPr>
            <w:tcW w:w="851" w:type="dxa"/>
            <w:tcBorders>
              <w:top w:val="nil"/>
              <w:left w:val="nil"/>
              <w:bottom w:val="single" w:color="auto" w:sz="4" w:space="0"/>
              <w:right w:val="single" w:color="auto" w:sz="4" w:space="0"/>
            </w:tcBorders>
            <w:shd w:val="clear" w:color="auto" w:fill="auto"/>
            <w:noWrap/>
            <w:vAlign w:val="center"/>
          </w:tcPr>
          <w:p w14:paraId="64321D94">
            <w:pPr>
              <w:widowControl/>
              <w:jc w:val="left"/>
              <w:rPr>
                <w:rFonts w:ascii="宋体" w:hAnsi="宋体"/>
                <w:kern w:val="0"/>
                <w:sz w:val="18"/>
                <w:szCs w:val="18"/>
              </w:rPr>
            </w:pPr>
            <w:r>
              <w:rPr>
                <w:rFonts w:hint="eastAsia" w:ascii="宋体" w:hAnsi="宋体"/>
                <w:kern w:val="0"/>
                <w:sz w:val="18"/>
                <w:szCs w:val="18"/>
              </w:rPr>
              <w:t>　</w:t>
            </w:r>
          </w:p>
        </w:tc>
      </w:tr>
    </w:tbl>
    <w:p w14:paraId="7993C8EE">
      <w:pPr>
        <w:rPr>
          <w:rFonts w:ascii="仿宋" w:hAnsi="仿宋" w:eastAsia="仿宋"/>
          <w:sz w:val="24"/>
          <w:szCs w:val="24"/>
        </w:rPr>
      </w:pPr>
    </w:p>
    <w:sectPr>
      <w:pgSz w:w="16839" w:h="11907" w:orient="landscape"/>
      <w:pgMar w:top="720" w:right="284" w:bottom="720" w:left="28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F81175"/>
    <w:multiLevelType w:val="multilevel"/>
    <w:tmpl w:val="15F81175"/>
    <w:lvl w:ilvl="0" w:tentative="0">
      <w:start w:val="1"/>
      <w:numFmt w:val="chineseCounting"/>
      <w:suff w:val="nothing"/>
      <w:lvlText w:val="（%1）"/>
      <w:lvlJc w:val="left"/>
      <w:pPr>
        <w:ind w:left="0" w:firstLine="0"/>
      </w:pPr>
      <w:rPr>
        <w:rFonts w:hint="eastAsia" w:ascii="宋体" w:hAnsi="宋体" w:eastAsia="宋体"/>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1C1E7109"/>
    <w:multiLevelType w:val="multilevel"/>
    <w:tmpl w:val="1C1E7109"/>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44E075DC"/>
    <w:multiLevelType w:val="multilevel"/>
    <w:tmpl w:val="44E075DC"/>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46125854"/>
    <w:multiLevelType w:val="multilevel"/>
    <w:tmpl w:val="46125854"/>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EA"/>
    <w:rsid w:val="0009143A"/>
    <w:rsid w:val="00120893"/>
    <w:rsid w:val="00135708"/>
    <w:rsid w:val="001A4A03"/>
    <w:rsid w:val="00215EB4"/>
    <w:rsid w:val="00222DCD"/>
    <w:rsid w:val="003D1E0A"/>
    <w:rsid w:val="00422ED5"/>
    <w:rsid w:val="00434BEA"/>
    <w:rsid w:val="00523CBD"/>
    <w:rsid w:val="00591379"/>
    <w:rsid w:val="006B0752"/>
    <w:rsid w:val="006F4622"/>
    <w:rsid w:val="00742D78"/>
    <w:rsid w:val="007704B2"/>
    <w:rsid w:val="00780F03"/>
    <w:rsid w:val="007A0C77"/>
    <w:rsid w:val="007E7E94"/>
    <w:rsid w:val="007F55B4"/>
    <w:rsid w:val="008C377E"/>
    <w:rsid w:val="00902406"/>
    <w:rsid w:val="00941D11"/>
    <w:rsid w:val="009455CB"/>
    <w:rsid w:val="009925FB"/>
    <w:rsid w:val="00A1321B"/>
    <w:rsid w:val="00AC24F8"/>
    <w:rsid w:val="00B46478"/>
    <w:rsid w:val="00B70843"/>
    <w:rsid w:val="00BC58E7"/>
    <w:rsid w:val="00C23082"/>
    <w:rsid w:val="00C23FCE"/>
    <w:rsid w:val="00C41C1C"/>
    <w:rsid w:val="00DD6D7F"/>
    <w:rsid w:val="00DD76CA"/>
    <w:rsid w:val="00DE2D79"/>
    <w:rsid w:val="00E53D84"/>
    <w:rsid w:val="00E85A40"/>
    <w:rsid w:val="00F22CF4"/>
    <w:rsid w:val="00F57ADE"/>
    <w:rsid w:val="00F67B15"/>
    <w:rsid w:val="00F76E39"/>
    <w:rsid w:val="00F76EF7"/>
    <w:rsid w:val="00FD3CC8"/>
    <w:rsid w:val="0BE67BA2"/>
    <w:rsid w:val="26316232"/>
    <w:rsid w:val="3D7B6720"/>
    <w:rsid w:val="64CC0858"/>
    <w:rsid w:val="7B5B42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paragraph" w:styleId="2">
    <w:name w:val="heading 2"/>
    <w:basedOn w:val="1"/>
    <w:next w:val="1"/>
    <w:link w:val="7"/>
    <w:qFormat/>
    <w:uiPriority w:val="99"/>
    <w:pPr>
      <w:keepNext/>
      <w:keepLines/>
      <w:jc w:val="center"/>
      <w:outlineLvl w:val="1"/>
    </w:pPr>
    <w:rPr>
      <w:rFonts w:ascii="Arial" w:hAnsi="Arial" w:cs="Times New Roman"/>
      <w:b/>
      <w:bCs/>
      <w:kern w:val="0"/>
      <w:sz w:val="36"/>
      <w:szCs w:val="36"/>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标题 2 Char"/>
    <w:basedOn w:val="6"/>
    <w:link w:val="2"/>
    <w:qFormat/>
    <w:uiPriority w:val="99"/>
    <w:rPr>
      <w:rFonts w:ascii="Arial" w:hAnsi="Arial" w:eastAsia="宋体" w:cs="Times New Roman"/>
      <w:b/>
      <w:bCs/>
      <w:kern w:val="0"/>
      <w:sz w:val="36"/>
      <w:szCs w:val="36"/>
    </w:rPr>
  </w:style>
  <w:style w:type="character" w:customStyle="1" w:styleId="8">
    <w:name w:val="页眉 Char"/>
    <w:basedOn w:val="6"/>
    <w:link w:val="4"/>
    <w:semiHidden/>
    <w:qFormat/>
    <w:uiPriority w:val="99"/>
    <w:rPr>
      <w:rFonts w:ascii="Calibri" w:hAnsi="Calibri" w:eastAsia="宋体" w:cs="宋体"/>
      <w:sz w:val="18"/>
      <w:szCs w:val="18"/>
    </w:rPr>
  </w:style>
  <w:style w:type="character" w:customStyle="1" w:styleId="9">
    <w:name w:val="页脚 Char"/>
    <w:basedOn w:val="6"/>
    <w:link w:val="3"/>
    <w:semiHidden/>
    <w:qFormat/>
    <w:uiPriority w:val="99"/>
    <w:rPr>
      <w:rFonts w:ascii="Calibri" w:hAnsi="Calibri" w:eastAsia="宋体" w:cs="宋体"/>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11</Pages>
  <Words>6851</Words>
  <Characters>7458</Characters>
  <Lines>70</Lines>
  <Paragraphs>19</Paragraphs>
  <TotalTime>387</TotalTime>
  <ScaleCrop>false</ScaleCrop>
  <LinksUpToDate>false</LinksUpToDate>
  <CharactersWithSpaces>8026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2024-12-04T10:10:00Z</dcterms:created>
  <dc:creator>向长状</dc:creator>
  <cp:lastModifiedBy>hh88</cp:lastModifiedBy>
  <cp:lastPrinted>2024-12-05T03:14:00Z</cp:lastPrinted>
  <dcterms:modified xsi:type="dcterms:W3CDTF">2024-12-05T08:14:38Z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A0C06A556F9443209C2C2AB54959D2A6_13</vt:lpwstr>
  </property>
</Properties>
</file>